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Times New Roman"/>
        </w:rPr>
      </w:pPr>
      <w:r>
        <w:rPr>
          <w:rFonts w:ascii="黑体" w:hAnsi="黑体" w:eastAsia="黑体" w:cs="Times New Roman"/>
        </w:rPr>
        <mc:AlternateContent>
          <mc:Choice Requires="wps">
            <w:drawing>
              <wp:anchor distT="0" distB="0" distL="114300" distR="114300" simplePos="0" relativeHeight="251659264" behindDoc="0" locked="0" layoutInCell="1" allowOverlap="1">
                <wp:simplePos x="0" y="0"/>
                <wp:positionH relativeFrom="column">
                  <wp:posOffset>2859405</wp:posOffset>
                </wp:positionH>
                <wp:positionV relativeFrom="topMargin">
                  <wp:posOffset>465455</wp:posOffset>
                </wp:positionV>
                <wp:extent cx="3696970" cy="792480"/>
                <wp:effectExtent l="0" t="0" r="0" b="0"/>
                <wp:wrapNone/>
                <wp:docPr id="7" name="Text Box 2"/>
                <wp:cNvGraphicFramePr/>
                <a:graphic xmlns:a="http://schemas.openxmlformats.org/drawingml/2006/main">
                  <a:graphicData uri="http://schemas.microsoft.com/office/word/2010/wordprocessingShape">
                    <wps:wsp>
                      <wps:cNvSpPr txBox="true">
                        <a:spLocks noChangeArrowheads="true"/>
                      </wps:cNvSpPr>
                      <wps:spPr bwMode="auto">
                        <a:xfrm>
                          <a:off x="0" y="0"/>
                          <a:ext cx="3696970" cy="792480"/>
                        </a:xfrm>
                        <a:prstGeom prst="rect">
                          <a:avLst/>
                        </a:prstGeom>
                        <a:noFill/>
                        <a:ln>
                          <a:noFill/>
                        </a:ln>
                      </wps:spPr>
                      <wps:txbx>
                        <w:txbxContent>
                          <w:p>
                            <w:pPr>
                              <w:pStyle w:val="29"/>
                              <w:shd w:val="clear" w:color="auto" w:fill="auto"/>
                              <w:wordWrap w:val="0"/>
                              <w:ind w:right="471" w:firstLine="625" w:firstLineChars="50"/>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false" upright="true">
                        <a:spAutoFit/>
                      </wps:bodyPr>
                    </wps:wsp>
                  </a:graphicData>
                </a:graphic>
              </wp:anchor>
            </w:drawing>
          </mc:Choice>
          <mc:Fallback>
            <w:pict>
              <v:shape id="Text Box 2" o:spid="_x0000_s1026" o:spt="202" type="#_x0000_t202" style="position:absolute;left:0pt;margin-left:296.05pt;margin-top:36.65pt;height:62.4pt;width:291.1pt;mso-position-horizontal-relative:page;mso-position-vertical-relative:page;z-index:251659264;mso-width-relative:page;mso-height-relative:page;" filled="f" stroked="f" coordsize="21600,21600" o:gfxdata="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Hp1+O7YAAAACwEAAA8AAAAAAAAAAQAgAAAAOAAA&#10;AGRycy9kb3ducmV2LnhtbFBLAQIUABQAAAAIAIdO4kDM3w308gEAANMDAAAOAAAAAAAAAAEAIAAA&#10;AD0BAABkcnMvZTJvRG9jLnhtbFBLBQYAAAAABgAGAFkBAAChBQAAAAA=&#10;">
                <v:fill on="f" focussize="0,0"/>
                <v:stroke on="f"/>
                <v:imagedata o:title=""/>
                <o:lock v:ext="edit" aspectratio="f"/>
                <v:textbox style="mso-fit-shape-to-text:t;">
                  <w:txbxContent>
                    <w:p>
                      <w:pPr>
                        <w:pStyle w:val="29"/>
                        <w:shd w:val="clear" w:color="auto" w:fill="auto"/>
                        <w:wordWrap w:val="0"/>
                        <w:ind w:right="471" w:firstLine="625" w:firstLineChars="50"/>
                        <w:jc w:val="both"/>
                        <w:rPr>
                          <w:rFonts w:eastAsia="方正小标宋_GBK"/>
                          <w:sz w:val="84"/>
                          <w:szCs w:val="84"/>
                        </w:rPr>
                      </w:pPr>
                      <w:r>
                        <w:rPr>
                          <w:rFonts w:eastAsia="方正小标宋_GBK"/>
                          <w:szCs w:val="84"/>
                        </w:rPr>
                        <w:t>DB3205</w:t>
                      </w:r>
                    </w:p>
                  </w:txbxContent>
                </v:textbox>
              </v:shape>
            </w:pict>
          </mc:Fallback>
        </mc:AlternateContent>
      </w:r>
      <w:r>
        <w:rPr>
          <w:rFonts w:ascii="黑体" w:hAnsi="黑体" w:eastAsia="黑体" w:cs="Times New Roman"/>
        </w:rPr>
        <w:t xml:space="preserve">ICS </w:t>
      </w:r>
      <w:r>
        <w:rPr>
          <w:rFonts w:hint="eastAsia" w:ascii="黑体" w:hAnsi="黑体" w:eastAsia="黑体" w:cs="Times New Roman"/>
        </w:rPr>
        <w:t>97</w:t>
      </w:r>
      <w:r>
        <w:rPr>
          <w:rFonts w:ascii="黑体" w:hAnsi="黑体" w:eastAsia="黑体" w:cs="Times New Roman"/>
        </w:rPr>
        <w:t>.</w:t>
      </w:r>
      <w:r>
        <w:rPr>
          <w:rFonts w:hint="eastAsia" w:ascii="黑体" w:hAnsi="黑体" w:eastAsia="黑体" w:cs="Times New Roman"/>
        </w:rPr>
        <w:t>200</w:t>
      </w:r>
    </w:p>
    <w:p>
      <w:pPr>
        <w:rPr>
          <w:rFonts w:ascii="黑体" w:hAnsi="黑体" w:eastAsia="黑体" w:cs="Times New Roman"/>
        </w:rPr>
      </w:pPr>
      <w:r>
        <w:rPr>
          <w:rFonts w:ascii="黑体" w:hAnsi="黑体" w:eastAsia="黑体" w:cs="Times New Roman"/>
        </w:rPr>
        <w:t xml:space="preserve">CCS Y </w:t>
      </w:r>
      <w:r>
        <w:rPr>
          <w:rFonts w:hint="eastAsia" w:ascii="黑体" w:hAnsi="黑体" w:eastAsia="黑体" w:cs="Times New Roman"/>
        </w:rPr>
        <w:t>55</w:t>
      </w:r>
      <w:r>
        <w:rPr>
          <w:rFonts w:ascii="黑体" w:hAnsi="黑体" w:eastAsia="黑体" w:cs="Times New Roman"/>
        </w:rPr>
        <w:t xml:space="preserve"> </w:t>
      </w:r>
    </w:p>
    <w:p>
      <w:pPr>
        <w:rPr>
          <w:rFonts w:ascii="黑体" w:hAnsi="黑体" w:eastAsia="黑体"/>
        </w:rPr>
      </w:pPr>
    </w:p>
    <w:p>
      <w:pPr>
        <w:autoSpaceDE w:val="0"/>
        <w:autoSpaceDN w:val="0"/>
        <w:adjustRightInd w:val="0"/>
        <w:jc w:val="distribute"/>
        <w:rPr>
          <w:rFonts w:ascii="方正小标宋_GBK" w:eastAsia="方正小标宋_GBK" w:cs="Dotum,Bold"/>
          <w:bCs/>
          <w:snapToGrid w:val="0"/>
          <w:kern w:val="0"/>
          <w:sz w:val="52"/>
          <w:szCs w:val="52"/>
        </w:rPr>
      </w:pP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 xmlns:a="http://schemas.openxmlformats.org/drawingml/2006/main">
                  <a:graphicData uri="http://schemas.microsoft.com/office/word/2010/wordprocessingShape">
                    <wps:wsp>
                      <wps:cNvSpPr txBox="true">
                        <a:spLocks noChangeArrowheads="true"/>
                      </wps:cNvSpPr>
                      <wps:spPr bwMode="auto">
                        <a:xfrm>
                          <a:off x="0" y="0"/>
                          <a:ext cx="6120130" cy="615950"/>
                        </a:xfrm>
                        <a:prstGeom prst="rect">
                          <a:avLst/>
                        </a:prstGeom>
                        <a:noFill/>
                        <a:ln w="0">
                          <a:noFill/>
                          <a:miter lim="800000"/>
                        </a:ln>
                      </wps:spPr>
                      <wps:txbx>
                        <w:txbxContent>
                          <w:p>
                            <w:pPr>
                              <w:jc w:val="distribute"/>
                            </w:pPr>
                            <w:r>
                              <w:rPr>
                                <w:rFonts w:hint="eastAsia" w:ascii="方正小标宋_GBK" w:hAnsi="宋体" w:eastAsia="方正小标宋_GBK" w:cs="SimSun,Bold"/>
                                <w:bCs/>
                                <w:snapToGrid w:val="0"/>
                                <w:kern w:val="0"/>
                                <w:sz w:val="52"/>
                                <w:szCs w:val="52"/>
                              </w:rPr>
                              <w:t>苏州市地方标准</w:t>
                            </w:r>
                          </w:p>
                        </w:txbxContent>
                      </wps:txbx>
                      <wps:bodyPr rot="0" vert="horz" wrap="square" lIns="91440" tIns="45720" rIns="91440" bIns="45720" anchor="t" anchorCtr="false" upright="true">
                        <a:noAutofit/>
                      </wps:bodyPr>
                    </wps:wsp>
                  </a:graphicData>
                </a:graphic>
              </wp:anchor>
            </w:drawing>
          </mc:Choice>
          <mc:Fallback>
            <w:pict>
              <v:shape id="Text Box 18" o:spid="_x0000_s1026" o:spt="202" type="#_x0000_t202" style="position:absolute;left:0pt;margin-left:77.25pt;margin-top:93pt;height:48.5pt;width:481.9pt;mso-position-horizontal-relative:page;mso-position-vertical-relative:page;z-index:251662336;mso-width-relative:page;mso-height-relative:page;" filled="f" stroked="f" coordsize="21600,21600" o:gfxdata="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p6icQ9gAAAAKAQAA&#10;DwAAAAAAAAABACAAAAA4AAAAZHJzL2Rvd25yZXYueG1sUEsBAhQAFAAAAAgAh07iQGuVgo4DAgAA&#10;8QMAAA4AAAAAAAAAAQAgAAAAPQEAAGRycy9lMm9Eb2MueG1sUEsFBgAAAAAGAAYAWQEAALIFAAAA&#10;AA==&#10;">
                <v:fill on="f" focussize="0,0"/>
                <v:stroke on="f" weight="0pt" miterlimit="8" joinstyle="miter"/>
                <v:imagedata o:title=""/>
                <o:lock v:ext="edit" aspectratio="f"/>
                <v:textbox>
                  <w:txbxContent>
                    <w:p>
                      <w:pPr>
                        <w:jc w:val="distribute"/>
                      </w:pPr>
                      <w:r>
                        <w:rPr>
                          <w:rFonts w:hint="eastAsia" w:ascii="方正小标宋_GBK" w:hAnsi="宋体" w:eastAsia="方正小标宋_GBK" w:cs="SimSun,Bold"/>
                          <w:bCs/>
                          <w:snapToGrid w:val="0"/>
                          <w:kern w:val="0"/>
                          <w:sz w:val="52"/>
                          <w:szCs w:val="52"/>
                        </w:rPr>
                        <w:t>苏州市地方标准</w:t>
                      </w:r>
                    </w:p>
                  </w:txbxContent>
                </v:textbox>
              </v:shape>
            </w:pict>
          </mc:Fallback>
        </mc:AlternateContent>
      </w:r>
    </w:p>
    <w:p>
      <w:pPr>
        <w:spacing w:line="510" w:lineRule="exact"/>
        <w:rPr>
          <w:rFonts w:ascii="黑体" w:hAnsi="黑体" w:eastAsia="黑体"/>
          <w:kern w:val="0"/>
          <w:sz w:val="28"/>
          <w:szCs w:val="28"/>
        </w:rPr>
      </w:pPr>
      <w:r>
        <w:rPr>
          <w:rFonts w:hint="eastAsia" w:ascii="黑体" w:hAnsi="黑体" w:eastAsia="黑体"/>
        </w:rPr>
        <w:t xml:space="preserve">                                                                   </w:t>
      </w:r>
      <w:r>
        <w:rPr>
          <w:rFonts w:hint="eastAsia" w:ascii="黑体" w:hAnsi="黑体" w:eastAsia="黑体"/>
          <w:kern w:val="0"/>
          <w:sz w:val="28"/>
          <w:szCs w:val="28"/>
        </w:rPr>
        <w:t xml:space="preserve">  </w:t>
      </w:r>
    </w:p>
    <w:p>
      <w:pPr>
        <w:autoSpaceDE w:val="0"/>
        <w:autoSpaceDN w:val="0"/>
        <w:adjustRightInd w:val="0"/>
        <w:spacing w:line="3686" w:lineRule="exact"/>
        <w:jc w:val="center"/>
        <w:rPr>
          <w:rFonts w:ascii="黑体" w:hAnsi="黑体" w:eastAsia="黑体"/>
        </w:rPr>
      </w:pP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 xmlns:a="http://schemas.openxmlformats.org/drawingml/2006/main">
                  <a:graphicData uri="http://schemas.microsoft.com/office/word/2010/wordprocessingShape">
                    <wps:wsp>
                      <wps:cNvSpPr txBox="true">
                        <a:spLocks noChangeArrowheads="true"/>
                      </wps:cNvSpPr>
                      <wps:spPr bwMode="auto">
                        <a:xfrm>
                          <a:off x="0" y="0"/>
                          <a:ext cx="1927344" cy="304800"/>
                        </a:xfrm>
                        <a:prstGeom prst="rect">
                          <a:avLst/>
                        </a:prstGeom>
                        <a:noFill/>
                        <a:ln w="0">
                          <a:noFill/>
                          <a:miter lim="800000"/>
                        </a:ln>
                      </wps:spPr>
                      <wps:txb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2024</w:t>
                            </w:r>
                          </w:p>
                        </w:txbxContent>
                      </wps:txbx>
                      <wps:bodyPr rot="0" vert="horz" wrap="square" lIns="91440" tIns="45720" rIns="91440" bIns="45720" anchor="t" anchorCtr="false" upright="true">
                        <a:noAutofit/>
                      </wps:bodyPr>
                    </wps:wsp>
                  </a:graphicData>
                </a:graphic>
              </wp:anchor>
            </w:drawing>
          </mc:Choice>
          <mc:Fallback>
            <w:pict>
              <v:shape id="Text Box 19" o:spid="_x0000_s1026" o:spt="202" type="#_x0000_t202" style="position:absolute;left:0pt;margin-left:417.9pt;margin-top:176.25pt;height:24pt;width:151.75pt;mso-position-horizontal-relative:page;mso-position-vertical-relative:page;z-index:251662336;mso-width-relative:page;mso-height-relative:page;" filled="f" stroked="f" coordsize="21600,21600" o:gfxdata="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BYAAABkcnMvUEsBAhQAFAAAAAgAh07iQKr5137bAAAA&#10;CwEAAA8AAAAAAAAAAQAgAAAAOAAAAGRycy9kb3ducmV2LnhtbFBLAQIUABQAAAAIAIdO4kB8rynt&#10;BAIAAPEDAAAOAAAAAAAAAAEAIAAAAEABAABkcnMvZTJvRG9jLnhtbFBLBQYAAAAABgAGAFkBAAC2&#10;BQAAAAA=&#10;">
                <v:fill on="f" focussize="0,0"/>
                <v:stroke on="f" weight="0pt" miterlimit="8" joinstyle="miter"/>
                <v:imagedata o:title=""/>
                <o:lock v:ext="edit" aspectratio="f"/>
                <v:textbo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2024</w:t>
                      </w:r>
                    </w:p>
                  </w:txbxContent>
                </v:textbox>
              </v:shape>
            </w:pict>
          </mc:Fallback>
        </mc:AlternateContent>
      </w: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topMargin">
                  <wp:posOffset>2708910</wp:posOffset>
                </wp:positionV>
                <wp:extent cx="6115050" cy="0"/>
                <wp:effectExtent l="14605" t="13335" r="13970" b="15240"/>
                <wp:wrapNone/>
                <wp:docPr id="5" name="AutoShape 13"/>
                <wp:cNvGraphicFramePr/>
                <a:graphic xmlns:a="http://schemas.openxmlformats.org/drawingml/2006/main">
                  <a:graphicData uri="http://schemas.microsoft.com/office/word/2010/wordprocessingShape">
                    <wps:wsp>
                      <wps:cNvCnPr>
                        <a:cxnSpLocks noChangeShapeType="true"/>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70.9pt;margin-top:213.3pt;height:0pt;width:481.5pt;mso-position-horizontal-relative:page;mso-position-vertical-relative:page;z-index:251660288;mso-width-relative:page;mso-height-relative:page;" filled="f" stroked="t" coordsize="21600,21600" o:gfxdata="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CIy4Wx0wAAAAgBAAAPAAAAAAAAAAEAIAAAADgAAABk&#10;cnMvZG93bnJldi54bWxQSwECFAAUAAAACACHTuJAOWU6U7wBAABpAwAADgAAAAAAAAABACAAAAA4&#10;AQAAZHJzL2Uyb0RvYy54bWxQSwUGAAAAAAYABgBZAQAAZgUAAAAA&#10;">
                <v:fill on="f" focussize="0,0"/>
                <v:stroke weight="1pt" color="#000000" joinstyle="round"/>
                <v:imagedata o:title=""/>
                <o:lock v:ext="edit" aspectratio="f"/>
              </v:shape>
            </w:pict>
          </mc:Fallback>
        </mc:AlternateContent>
      </w:r>
      <w:r>
        <w:rPr>
          <w:rFonts w:ascii="黑体" w:hAnsi="黑体" w:eastAsia="黑体"/>
        </w:rPr>
        <mc:AlternateContent>
          <mc:Choice Requires="wps">
            <w:drawing>
              <wp:anchor distT="0" distB="0" distL="114300" distR="114300" simplePos="0" relativeHeight="251661312" behindDoc="0" locked="0" layoutInCell="1" allowOverlap="1">
                <wp:simplePos x="0" y="0"/>
                <wp:positionH relativeFrom="column">
                  <wp:posOffset>80645</wp:posOffset>
                </wp:positionH>
                <wp:positionV relativeFrom="topMargin">
                  <wp:posOffset>4140835</wp:posOffset>
                </wp:positionV>
                <wp:extent cx="5924550" cy="3248025"/>
                <wp:effectExtent l="0" t="0" r="0" b="0"/>
                <wp:wrapNone/>
                <wp:docPr id="4" name="Text Box 17"/>
                <wp:cNvGraphicFramePr/>
                <a:graphic xmlns:a="http://schemas.openxmlformats.org/drawingml/2006/main">
                  <a:graphicData uri="http://schemas.microsoft.com/office/word/2010/wordprocessingShape">
                    <wps:wsp>
                      <wps:cNvSpPr txBox="true">
                        <a:spLocks noChangeArrowheads="true"/>
                      </wps:cNvSpPr>
                      <wps:spPr bwMode="auto">
                        <a:xfrm>
                          <a:off x="0" y="0"/>
                          <a:ext cx="5924550" cy="3248025"/>
                        </a:xfrm>
                        <a:prstGeom prst="rect">
                          <a:avLst/>
                        </a:prstGeom>
                        <a:noFill/>
                        <a:ln w="0">
                          <a:noFill/>
                          <a:miter lim="800000"/>
                        </a:ln>
                      </wps:spPr>
                      <wps:txbx>
                        <w:txbxContent>
                          <w:p>
                            <w:pPr>
                              <w:jc w:val="center"/>
                              <w:rPr>
                                <w:rFonts w:ascii="黑体" w:hAnsi="宋体" w:eastAsia="黑体"/>
                                <w:sz w:val="52"/>
                                <w:szCs w:val="52"/>
                              </w:rPr>
                            </w:pPr>
                            <w:r>
                              <w:rPr>
                                <w:rFonts w:hint="eastAsia" w:ascii="黑体" w:hAnsi="宋体" w:eastAsia="黑体"/>
                                <w:sz w:val="52"/>
                                <w:szCs w:val="52"/>
                              </w:rPr>
                              <w:t>运动促进健康中心建设</w:t>
                            </w:r>
                            <w:r>
                              <w:rPr>
                                <w:rFonts w:ascii="黑体" w:hAnsi="宋体" w:eastAsia="黑体"/>
                                <w:sz w:val="52"/>
                                <w:szCs w:val="52"/>
                              </w:rPr>
                              <w:t>指南</w:t>
                            </w:r>
                          </w:p>
                          <w:p>
                            <w:pPr>
                              <w:jc w:val="center"/>
                              <w:rPr>
                                <w:rStyle w:val="44"/>
                                <w:rFonts w:ascii="黑体" w:hAnsi="黑体" w:eastAsia="黑体"/>
                                <w:kern w:val="0"/>
                                <w:sz w:val="28"/>
                                <w:szCs w:val="21"/>
                              </w:rPr>
                            </w:pPr>
                            <w:r>
                              <w:rPr>
                                <w:rFonts w:ascii="黑体" w:hAnsi="黑体" w:eastAsia="黑体"/>
                                <w:kern w:val="0"/>
                                <w:sz w:val="28"/>
                                <w:szCs w:val="21"/>
                              </w:rPr>
                              <w:t>Guidelines for the construction of exercise promotes health centers</w:t>
                            </w:r>
                          </w:p>
                          <w:p>
                            <w:pPr>
                              <w:jc w:val="center"/>
                              <w:rPr>
                                <w:rFonts w:asciiTheme="minorEastAsia" w:hAnsiTheme="minorEastAsia"/>
                                <w:sz w:val="24"/>
                              </w:rPr>
                            </w:pPr>
                            <w:r>
                              <w:rPr>
                                <w:rFonts w:hint="eastAsia" w:asciiTheme="minorEastAsia" w:hAnsiTheme="minorEastAsia"/>
                                <w:sz w:val="24"/>
                              </w:rPr>
                              <w:t>（报批稿）</w:t>
                            </w:r>
                          </w:p>
                        </w:txbxContent>
                      </wps:txbx>
                      <wps:bodyPr rot="0" vert="horz" wrap="square" lIns="91440" tIns="45720" rIns="91440" bIns="45720" anchor="t" anchorCtr="false" upright="true">
                        <a:noAutofit/>
                      </wps:bodyPr>
                    </wps:wsp>
                  </a:graphicData>
                </a:graphic>
              </wp:anchor>
            </w:drawing>
          </mc:Choice>
          <mc:Fallback>
            <w:pict>
              <v:shape id="Text Box 17" o:spid="_x0000_s1026" o:spt="202" type="#_x0000_t202" style="position:absolute;left:0pt;margin-left:77.25pt;margin-top:326.05pt;height:255.75pt;width:466.5pt;mso-position-horizontal-relative:page;mso-position-vertical-relative:page;z-index:251661312;mso-width-relative:page;mso-height-relative:page;" filled="f" stroked="f" coordsize="21600,21600" o:gfxdata="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hzBuOtkAAAALAQAA&#10;DwAAAAAAAAABACAAAAA4AAAAZHJzL2Rvd25yZXYueG1sUEsBAhQAFAAAAAgAh07iQJkxDzQCAgAA&#10;8gMAAA4AAAAAAAAAAQAgAAAAPgEAAGRycy9lMm9Eb2MueG1sUEsFBgAAAAAGAAYAWQEAALIFAAAA&#10;AA==&#10;">
                <v:fill on="f" focussize="0,0"/>
                <v:stroke on="f" weight="0pt" miterlimit="8" joinstyle="miter"/>
                <v:imagedata o:title=""/>
                <o:lock v:ext="edit" aspectratio="f"/>
                <v:textbox>
                  <w:txbxContent>
                    <w:p>
                      <w:pPr>
                        <w:jc w:val="center"/>
                        <w:rPr>
                          <w:rFonts w:ascii="黑体" w:hAnsi="宋体" w:eastAsia="黑体"/>
                          <w:sz w:val="52"/>
                          <w:szCs w:val="52"/>
                        </w:rPr>
                      </w:pPr>
                      <w:r>
                        <w:rPr>
                          <w:rFonts w:hint="eastAsia" w:ascii="黑体" w:hAnsi="宋体" w:eastAsia="黑体"/>
                          <w:sz w:val="52"/>
                          <w:szCs w:val="52"/>
                        </w:rPr>
                        <w:t>运动促进健康中心建设</w:t>
                      </w:r>
                      <w:r>
                        <w:rPr>
                          <w:rFonts w:ascii="黑体" w:hAnsi="宋体" w:eastAsia="黑体"/>
                          <w:sz w:val="52"/>
                          <w:szCs w:val="52"/>
                        </w:rPr>
                        <w:t>指南</w:t>
                      </w:r>
                    </w:p>
                    <w:p>
                      <w:pPr>
                        <w:jc w:val="center"/>
                        <w:rPr>
                          <w:rStyle w:val="44"/>
                          <w:rFonts w:ascii="黑体" w:hAnsi="黑体" w:eastAsia="黑体"/>
                          <w:kern w:val="0"/>
                          <w:sz w:val="28"/>
                          <w:szCs w:val="21"/>
                        </w:rPr>
                      </w:pPr>
                      <w:r>
                        <w:rPr>
                          <w:rFonts w:ascii="黑体" w:hAnsi="黑体" w:eastAsia="黑体"/>
                          <w:kern w:val="0"/>
                          <w:sz w:val="28"/>
                          <w:szCs w:val="21"/>
                        </w:rPr>
                        <w:t>Guidelines for the construction of exercise promotes health centers</w:t>
                      </w:r>
                    </w:p>
                    <w:p>
                      <w:pPr>
                        <w:jc w:val="center"/>
                        <w:rPr>
                          <w:rFonts w:asciiTheme="minorEastAsia" w:hAnsiTheme="minorEastAsia"/>
                          <w:sz w:val="24"/>
                        </w:rPr>
                      </w:pPr>
                      <w:r>
                        <w:rPr>
                          <w:rFonts w:hint="eastAsia" w:asciiTheme="minorEastAsia" w:hAnsiTheme="minorEastAsia"/>
                          <w:sz w:val="24"/>
                        </w:rPr>
                        <w:t>（报批稿）</w:t>
                      </w:r>
                    </w:p>
                  </w:txbxContent>
                </v:textbox>
              </v:shape>
            </w:pict>
          </mc:Fallback>
        </mc:AlternateContent>
      </w: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r>
        <w:rPr>
          <w:rFonts w:hint="eastAsia" w:ascii="黑体" w:hAnsi="黑体" w:eastAsia="黑体"/>
        </w:rPr>
        <w:t xml:space="preserve">                                                                                          </w:t>
      </w:r>
    </w:p>
    <w:p>
      <w:pPr>
        <w:pStyle w:val="2"/>
      </w:pPr>
    </w:p>
    <w:p>
      <w:pPr>
        <w:pStyle w:val="2"/>
      </w:pPr>
    </w:p>
    <w:p>
      <w:pPr>
        <w:pStyle w:val="2"/>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sz w:val="28"/>
          <w:szCs w:val="28"/>
        </w:rPr>
      </w:pPr>
      <w:r>
        <w:rPr>
          <w:rFonts w:ascii="黑体" w:hAnsi="黑体" w:eastAsia="黑体"/>
          <w:sz w:val="28"/>
          <w:szCs w:val="28"/>
        </w:rPr>
        <mc:AlternateContent>
          <mc:Choice Requires="wps">
            <w:drawing>
              <wp:anchor distT="0" distB="0" distL="114300" distR="114300" simplePos="0" relativeHeight="251663360" behindDoc="0" locked="0" layoutInCell="1" allowOverlap="1">
                <wp:simplePos x="0" y="0"/>
                <wp:positionH relativeFrom="margin">
                  <wp:posOffset>-14605</wp:posOffset>
                </wp:positionH>
                <wp:positionV relativeFrom="topMargin">
                  <wp:posOffset>9133205</wp:posOffset>
                </wp:positionV>
                <wp:extent cx="6115050" cy="0"/>
                <wp:effectExtent l="0" t="0" r="19050" b="19050"/>
                <wp:wrapNone/>
                <wp:docPr id="8" name="AutoShape 13"/>
                <wp:cNvGraphicFramePr/>
                <a:graphic xmlns:a="http://schemas.openxmlformats.org/drawingml/2006/main">
                  <a:graphicData uri="http://schemas.microsoft.com/office/word/2010/wordprocessingShape">
                    <wps:wsp>
                      <wps:cNvCnPr>
                        <a:cxnSpLocks noChangeShapeType="true"/>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69.75pt;margin-top:719.15pt;height:0pt;width:481.5pt;mso-position-horizontal-relative:page;mso-position-vertical-relative:page;z-index:251663360;mso-width-relative:page;mso-height-relative:page;" filled="f" stroked="t" coordsize="21600,21600" o:gfxdata="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WAAAAZHJzL1BLAQIUABQAAAAIAIdO4kCvMgXH1gAAAAwBAAAPAAAAAAAAAAEAIAAAADgA&#10;AABkcnMvZG93bnJldi54bWxQSwECFAAUAAAACACHTuJAbdKPlLwBAABpAwAADgAAAAAAAAABACAA&#10;AAA7AQAAZHJzL2Uyb0RvYy54bWxQSwUGAAAAAAYABgBZAQAAaQUAAAAA&#10;">
                <v:fill on="f" focussize="0,0"/>
                <v:stroke weight="1pt" color="#000000" joinstyle="round"/>
                <v:imagedata o:title=""/>
                <o:lock v:ext="edit" aspectratio="f"/>
              </v:shape>
            </w:pict>
          </mc:Fallback>
        </mc:AlternateContent>
      </w:r>
      <w:r>
        <w:rPr>
          <w:rFonts w:hint="eastAsia" w:ascii="黑体" w:hAnsi="黑体" w:eastAsia="黑体"/>
          <w:sz w:val="28"/>
          <w:szCs w:val="28"/>
        </w:rPr>
        <w:t>2024-XX-XX发布                                       2024-XX-XX实施</w:t>
      </w:r>
    </w:p>
    <w:p>
      <w:pPr>
        <w:spacing w:line="1247" w:lineRule="exact"/>
        <w:jc w:val="center"/>
        <w:rPr>
          <w:rFonts w:ascii="黑体" w:hAnsi="黑体" w:eastAsia="黑体"/>
          <w:sz w:val="28"/>
          <w:szCs w:val="28"/>
        </w:rPr>
      </w:pPr>
      <w:bookmarkStart w:id="0" w:name="_Toc18385"/>
      <w:bookmarkStart w:id="1" w:name="_Toc3547"/>
      <w:r>
        <w:rPr>
          <w:rFonts w:hint="eastAsia" w:ascii="方正小标宋_GBK" w:eastAsia="方正小标宋_GBK"/>
          <w:sz w:val="44"/>
          <w:szCs w:val="44"/>
        </w:rPr>
        <w:t>苏州市市场监督管理局</w:t>
      </w:r>
      <w:r>
        <w:rPr>
          <w:rFonts w:hint="eastAsia" w:ascii="方正小标宋_GBK" w:hAnsi="宋体" w:eastAsia="方正小标宋_GBK" w:cs="SimSun,Bold"/>
          <w:bCs/>
          <w:snapToGrid w:val="0"/>
          <w:kern w:val="0"/>
          <w:sz w:val="44"/>
          <w:szCs w:val="52"/>
        </w:rPr>
        <w:t xml:space="preserve">  </w:t>
      </w:r>
      <w:r>
        <w:rPr>
          <w:rFonts w:hint="eastAsia" w:ascii="黑体" w:hAnsi="黑体" w:eastAsia="黑体"/>
          <w:sz w:val="28"/>
          <w:szCs w:val="28"/>
        </w:rPr>
        <w:t>发 布</w:t>
      </w:r>
      <w:bookmarkEnd w:id="0"/>
      <w:bookmarkEnd w:id="1"/>
    </w:p>
    <w:p>
      <w:pPr>
        <w:pStyle w:val="2"/>
      </w:pPr>
    </w:p>
    <w:p>
      <w:pPr>
        <w:rPr>
          <w:rFonts w:ascii="黑体" w:hAnsi="黑体" w:eastAsia="黑体"/>
          <w:sz w:val="28"/>
          <w:szCs w:val="28"/>
        </w:rPr>
        <w:sectPr>
          <w:pgSz w:w="11906" w:h="16838"/>
          <w:pgMar w:top="567" w:right="851" w:bottom="1134" w:left="1418" w:header="0" w:footer="0" w:gutter="0"/>
          <w:cols w:space="425" w:num="1"/>
          <w:docGrid w:type="lines" w:linePitch="312" w:charSpace="0"/>
        </w:sectPr>
      </w:pPr>
    </w:p>
    <w:p>
      <w:pPr>
        <w:snapToGrid w:val="0"/>
        <w:spacing w:before="567" w:after="680"/>
        <w:jc w:val="center"/>
        <w:rPr>
          <w:rFonts w:ascii="黑体" w:hAnsi="黑体" w:eastAsia="黑体"/>
          <w:sz w:val="32"/>
          <w:szCs w:val="32"/>
        </w:rPr>
      </w:pPr>
      <w:r>
        <w:rPr>
          <w:rFonts w:hint="eastAsia" w:ascii="黑体" w:hAnsi="黑体" w:eastAsia="黑体"/>
          <w:sz w:val="32"/>
          <w:szCs w:val="32"/>
        </w:rPr>
        <w:t>目</w:t>
      </w:r>
      <w:r>
        <w:rPr>
          <w:rFonts w:hint="eastAsia" w:ascii="黑体" w:hAnsi="黑体" w:eastAsia="黑体"/>
          <w:bCs/>
          <w:sz w:val="32"/>
          <w:szCs w:val="32"/>
        </w:rPr>
        <w:t xml:space="preserve">    </w:t>
      </w:r>
      <w:r>
        <w:rPr>
          <w:rFonts w:hint="eastAsia" w:ascii="黑体" w:hAnsi="黑体" w:eastAsia="黑体"/>
          <w:sz w:val="32"/>
          <w:szCs w:val="32"/>
        </w:rPr>
        <w:t>次</w:t>
      </w:r>
    </w:p>
    <w:p>
      <w:pPr>
        <w:pStyle w:val="1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TOC \o "1-3" \h \z \u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_Toc5091 </w:instrText>
      </w:r>
      <w:r>
        <w:rPr>
          <w:rFonts w:hint="eastAsia" w:ascii="宋体" w:hAnsi="宋体" w:eastAsia="宋体" w:cs="宋体"/>
          <w:sz w:val="21"/>
          <w:szCs w:val="21"/>
        </w:rPr>
        <w:fldChar w:fldCharType="separate"/>
      </w:r>
      <w:r>
        <w:rPr>
          <w:rFonts w:hint="eastAsia" w:ascii="宋体" w:hAnsi="宋体" w:eastAsia="宋体" w:cs="宋体"/>
          <w:kern w:val="0"/>
          <w:sz w:val="21"/>
          <w:szCs w:val="21"/>
        </w:rPr>
        <w:t>前言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_Toc5091 \h </w:instrText>
      </w:r>
      <w:r>
        <w:rPr>
          <w:rFonts w:hint="eastAsia" w:ascii="宋体" w:hAnsi="宋体" w:eastAsia="宋体" w:cs="宋体"/>
          <w:sz w:val="21"/>
          <w:szCs w:val="21"/>
        </w:rPr>
        <w:fldChar w:fldCharType="separate"/>
      </w:r>
      <w:r>
        <w:rPr>
          <w:rFonts w:hint="eastAsia" w:ascii="宋体" w:hAnsi="宋体" w:eastAsia="宋体" w:cs="宋体"/>
          <w:sz w:val="21"/>
          <w:szCs w:val="21"/>
        </w:rPr>
        <w:t>II</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_Toc27564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1 </w:t>
      </w:r>
      <w:r>
        <w:rPr>
          <w:rFonts w:hint="eastAsia" w:ascii="宋体" w:hAnsi="宋体" w:eastAsia="宋体" w:cs="宋体"/>
          <w:i w:val="0"/>
          <w:sz w:val="21"/>
          <w:szCs w:val="21"/>
          <w:lang w:val="en-US" w:eastAsia="zh-CN"/>
        </w:rPr>
        <w:t xml:space="preserve"> </w:t>
      </w:r>
      <w:r>
        <w:rPr>
          <w:rFonts w:hint="eastAsia" w:ascii="宋体" w:hAnsi="宋体" w:eastAsia="宋体" w:cs="宋体"/>
          <w:sz w:val="21"/>
          <w:szCs w:val="21"/>
        </w:rPr>
        <w:t>范围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_Toc27564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_Toc29824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2 </w:t>
      </w:r>
      <w:r>
        <w:rPr>
          <w:rFonts w:hint="eastAsia" w:ascii="宋体" w:hAnsi="宋体" w:eastAsia="宋体" w:cs="宋体"/>
          <w:i w:val="0"/>
          <w:sz w:val="21"/>
          <w:szCs w:val="21"/>
          <w:lang w:val="en-US" w:eastAsia="zh-CN"/>
        </w:rPr>
        <w:t xml:space="preserve"> </w:t>
      </w:r>
      <w:r>
        <w:rPr>
          <w:rFonts w:hint="eastAsia" w:ascii="宋体" w:hAnsi="宋体" w:eastAsia="宋体" w:cs="宋体"/>
          <w:sz w:val="21"/>
          <w:szCs w:val="21"/>
        </w:rPr>
        <w:t>规范性引用文件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_Toc29824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_Toc22953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3 </w:t>
      </w:r>
      <w:r>
        <w:rPr>
          <w:rFonts w:hint="eastAsia" w:ascii="宋体" w:hAnsi="宋体" w:eastAsia="宋体" w:cs="宋体"/>
          <w:i w:val="0"/>
          <w:sz w:val="21"/>
          <w:szCs w:val="21"/>
          <w:lang w:val="en-US" w:eastAsia="zh-CN"/>
        </w:rPr>
        <w:t xml:space="preserve"> </w:t>
      </w:r>
      <w:r>
        <w:rPr>
          <w:rFonts w:hint="eastAsia" w:ascii="宋体" w:hAnsi="宋体" w:eastAsia="宋体" w:cs="宋体"/>
          <w:sz w:val="21"/>
          <w:szCs w:val="21"/>
        </w:rPr>
        <w:t>术语和定义</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_Toc22953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_Toc23215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4 </w:t>
      </w:r>
      <w:r>
        <w:rPr>
          <w:rFonts w:hint="eastAsia" w:ascii="宋体" w:hAnsi="宋体" w:eastAsia="宋体" w:cs="宋体"/>
          <w:i w:val="0"/>
          <w:sz w:val="21"/>
          <w:szCs w:val="21"/>
          <w:lang w:val="en-US" w:eastAsia="zh-CN"/>
        </w:rPr>
        <w:t xml:space="preserve"> </w:t>
      </w:r>
      <w:r>
        <w:rPr>
          <w:rFonts w:hint="eastAsia" w:ascii="宋体" w:hAnsi="宋体" w:eastAsia="宋体" w:cs="宋体"/>
          <w:sz w:val="21"/>
          <w:szCs w:val="21"/>
        </w:rPr>
        <w:t>总体原则</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_Toc23215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_Toc30667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5 </w:t>
      </w:r>
      <w:r>
        <w:rPr>
          <w:rFonts w:hint="eastAsia" w:ascii="宋体" w:hAnsi="宋体" w:eastAsia="宋体" w:cs="宋体"/>
          <w:i w:val="0"/>
          <w:sz w:val="21"/>
          <w:szCs w:val="21"/>
          <w:lang w:val="en-US" w:eastAsia="zh-CN"/>
        </w:rPr>
        <w:t xml:space="preserve"> </w:t>
      </w:r>
      <w:r>
        <w:rPr>
          <w:rFonts w:hint="eastAsia" w:ascii="宋体" w:hAnsi="宋体" w:eastAsia="宋体" w:cs="宋体"/>
          <w:sz w:val="21"/>
          <w:szCs w:val="21"/>
        </w:rPr>
        <w:t>建设分级</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_Toc30667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_Toc27356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6 </w:t>
      </w:r>
      <w:r>
        <w:rPr>
          <w:rFonts w:hint="eastAsia" w:ascii="宋体" w:hAnsi="宋体" w:eastAsia="宋体" w:cs="宋体"/>
          <w:i w:val="0"/>
          <w:sz w:val="21"/>
          <w:szCs w:val="21"/>
          <w:lang w:val="en-US" w:eastAsia="zh-CN"/>
        </w:rPr>
        <w:t xml:space="preserve"> </w:t>
      </w:r>
      <w:r>
        <w:rPr>
          <w:rFonts w:hint="eastAsia" w:ascii="宋体" w:hAnsi="宋体" w:eastAsia="宋体" w:cs="宋体"/>
          <w:sz w:val="21"/>
          <w:szCs w:val="21"/>
        </w:rPr>
        <w:t>选址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_Toc27356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_Toc29096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7 </w:t>
      </w:r>
      <w:r>
        <w:rPr>
          <w:rFonts w:hint="eastAsia" w:ascii="宋体" w:hAnsi="宋体" w:eastAsia="宋体" w:cs="宋体"/>
          <w:i w:val="0"/>
          <w:sz w:val="21"/>
          <w:szCs w:val="21"/>
          <w:lang w:val="en-US" w:eastAsia="zh-CN"/>
        </w:rPr>
        <w:t xml:space="preserve"> </w:t>
      </w:r>
      <w:r>
        <w:rPr>
          <w:rFonts w:hint="eastAsia" w:ascii="宋体" w:hAnsi="宋体" w:eastAsia="宋体" w:cs="宋体"/>
          <w:sz w:val="21"/>
          <w:szCs w:val="21"/>
        </w:rPr>
        <w:t>设施</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_Toc29096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7"/>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_Toc16316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环境设施</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_Toc16316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7"/>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_Toc31286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无障碍设施</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_Toc31286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7"/>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_Toc16951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消防设施</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_Toc16951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7"/>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_Toc10938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7.4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应急疏散设施</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_Toc10938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_Toc1613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8 </w:t>
      </w:r>
      <w:r>
        <w:rPr>
          <w:rFonts w:hint="eastAsia" w:ascii="宋体" w:hAnsi="宋体" w:eastAsia="宋体" w:cs="宋体"/>
          <w:i w:val="0"/>
          <w:sz w:val="21"/>
          <w:szCs w:val="21"/>
          <w:lang w:val="en-US" w:eastAsia="zh-CN"/>
        </w:rPr>
        <w:t xml:space="preserve"> </w:t>
      </w:r>
      <w:r>
        <w:rPr>
          <w:rFonts w:hint="eastAsia" w:ascii="宋体" w:hAnsi="宋体" w:eastAsia="宋体" w:cs="宋体"/>
          <w:sz w:val="21"/>
          <w:szCs w:val="21"/>
        </w:rPr>
        <w:t>功能区设置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_Toc1613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7"/>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_Toc28714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核心功能区</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_Toc28714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7"/>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_Toc25725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8.2</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拓展功能区</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_Toc25725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7"/>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_Toc13542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8.3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辅助功能区</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_Toc13542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_Toc28268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9 </w:t>
      </w:r>
      <w:r>
        <w:rPr>
          <w:rFonts w:hint="eastAsia" w:ascii="宋体" w:hAnsi="宋体" w:eastAsia="宋体" w:cs="宋体"/>
          <w:i w:val="0"/>
          <w:sz w:val="21"/>
          <w:szCs w:val="21"/>
          <w:lang w:val="en-US" w:eastAsia="zh-CN"/>
        </w:rPr>
        <w:t xml:space="preserve"> </w:t>
      </w:r>
      <w:r>
        <w:rPr>
          <w:rFonts w:hint="eastAsia" w:ascii="宋体" w:hAnsi="宋体" w:eastAsia="宋体" w:cs="宋体"/>
          <w:sz w:val="21"/>
          <w:szCs w:val="21"/>
        </w:rPr>
        <w:t>软硬件设备以及器材配置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_Toc28268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7"/>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_Toc1193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9.1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配置要求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_Toc1193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7"/>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_Toc689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9.2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系统配置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_Toc689 \h </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7"/>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_Toc27344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9.3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功能区设备器材配置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_Toc27344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7"/>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_Toc16244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9.4 </w:t>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其他设备配置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_Toc16244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_Toc6103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10</w:t>
      </w:r>
      <w:r>
        <w:rPr>
          <w:rFonts w:hint="eastAsia" w:ascii="宋体" w:hAnsi="宋体" w:eastAsia="宋体" w:cs="宋体"/>
          <w:i w:val="0"/>
          <w:sz w:val="21"/>
          <w:szCs w:val="21"/>
          <w:lang w:val="en-US" w:eastAsia="zh-CN"/>
        </w:rPr>
        <w:t xml:space="preserve">  </w:t>
      </w:r>
      <w:r>
        <w:rPr>
          <w:rFonts w:hint="eastAsia" w:ascii="宋体" w:hAnsi="宋体" w:eastAsia="宋体" w:cs="宋体"/>
          <w:sz w:val="21"/>
          <w:szCs w:val="21"/>
        </w:rPr>
        <w:t>标志标识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_Toc6103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_Toc28604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11 </w:t>
      </w:r>
      <w:r>
        <w:rPr>
          <w:rFonts w:hint="eastAsia" w:ascii="宋体" w:hAnsi="宋体" w:eastAsia="宋体" w:cs="宋体"/>
          <w:i w:val="0"/>
          <w:sz w:val="21"/>
          <w:szCs w:val="21"/>
          <w:lang w:val="en-US" w:eastAsia="zh-CN"/>
        </w:rPr>
        <w:t xml:space="preserve"> </w:t>
      </w:r>
      <w:r>
        <w:rPr>
          <w:rFonts w:hint="eastAsia" w:ascii="宋体" w:hAnsi="宋体" w:eastAsia="宋体" w:cs="宋体"/>
          <w:sz w:val="21"/>
          <w:szCs w:val="21"/>
        </w:rPr>
        <w:t>监督评价与改进</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_Toc28604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tabs>
          <w:tab w:val="right" w:leader="dot" w:pos="9354"/>
          <w:tab w:val="clear" w:pos="9344"/>
        </w:tabs>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_Toc20706 </w:instrText>
      </w:r>
      <w:r>
        <w:rPr>
          <w:rFonts w:hint="eastAsia" w:ascii="宋体" w:hAnsi="宋体" w:eastAsia="宋体" w:cs="宋体"/>
          <w:sz w:val="21"/>
          <w:szCs w:val="21"/>
        </w:rPr>
        <w:fldChar w:fldCharType="separate"/>
      </w:r>
      <w:r>
        <w:rPr>
          <w:rFonts w:hint="eastAsia" w:ascii="宋体" w:hAnsi="宋体" w:eastAsia="宋体" w:cs="宋体"/>
          <w:sz w:val="21"/>
          <w:szCs w:val="21"/>
        </w:rPr>
        <w:t>附录A</w:t>
      </w:r>
      <w:r>
        <w:rPr>
          <w:rFonts w:hint="eastAsia" w:ascii="宋体" w:hAnsi="宋体" w:eastAsia="宋体" w:cs="宋体"/>
          <w:sz w:val="21"/>
          <w:szCs w:val="21"/>
        </w:rPr>
        <w:fldChar w:fldCharType="end"/>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_Toc477 </w:instrText>
      </w:r>
      <w:r>
        <w:rPr>
          <w:rFonts w:hint="eastAsia" w:ascii="宋体" w:hAnsi="宋体" w:eastAsia="宋体" w:cs="宋体"/>
          <w:sz w:val="21"/>
          <w:szCs w:val="21"/>
        </w:rPr>
        <w:fldChar w:fldCharType="separate"/>
      </w:r>
      <w:r>
        <w:rPr>
          <w:rFonts w:hint="eastAsia" w:ascii="宋体" w:hAnsi="宋体" w:eastAsia="宋体" w:cs="宋体"/>
          <w:sz w:val="21"/>
          <w:szCs w:val="21"/>
        </w:rPr>
        <w:t>（资料性）</w:t>
      </w:r>
      <w:r>
        <w:rPr>
          <w:rFonts w:hint="eastAsia" w:ascii="宋体" w:hAnsi="宋体" w:eastAsia="宋体" w:cs="宋体"/>
          <w:sz w:val="21"/>
          <w:szCs w:val="21"/>
        </w:rPr>
        <w:fldChar w:fldCharType="end"/>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_Toc1241 </w:instrText>
      </w:r>
      <w:r>
        <w:rPr>
          <w:rFonts w:hint="eastAsia" w:ascii="宋体" w:hAnsi="宋体" w:eastAsia="宋体" w:cs="宋体"/>
          <w:sz w:val="21"/>
          <w:szCs w:val="21"/>
        </w:rPr>
        <w:fldChar w:fldCharType="separate"/>
      </w:r>
      <w:r>
        <w:rPr>
          <w:rFonts w:hint="eastAsia" w:ascii="宋体" w:hAnsi="宋体" w:eastAsia="宋体" w:cs="宋体"/>
          <w:sz w:val="21"/>
          <w:szCs w:val="21"/>
        </w:rPr>
        <w:t>运动促进健康中心分级建设内容</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_Toc1241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tabs>
          <w:tab w:val="right" w:leader="dot" w:pos="9354"/>
          <w:tab w:val="clear" w:pos="9344"/>
        </w:tabs>
        <w:rPr>
          <w:rFonts w:hint="eastAsia" w:ascii="宋体" w:hAnsi="宋体" w:eastAsia="宋体" w:cs="宋体"/>
          <w:sz w:val="21"/>
          <w:szCs w:val="21"/>
        </w:rPr>
      </w:pPr>
      <w:r>
        <w:rPr>
          <w:rFonts w:hint="eastAsia" w:eastAsiaTheme="minorEastAsia"/>
          <w:sz w:val="21"/>
          <w:szCs w:val="21"/>
        </w:rPr>
        <w:fldChar w:fldCharType="begin"/>
      </w:r>
      <w:r>
        <w:rPr>
          <w:rFonts w:hint="eastAsia" w:eastAsiaTheme="minorEastAsia"/>
          <w:sz w:val="21"/>
          <w:szCs w:val="21"/>
        </w:rPr>
        <w:instrText xml:space="preserve"> HYPERLINK \l _Toc16520 </w:instrText>
      </w:r>
      <w:r>
        <w:rPr>
          <w:rFonts w:hint="eastAsia" w:eastAsiaTheme="minorEastAsia"/>
          <w:sz w:val="21"/>
          <w:szCs w:val="21"/>
        </w:rPr>
        <w:fldChar w:fldCharType="separate"/>
      </w:r>
      <w:r>
        <w:rPr>
          <w:rFonts w:hint="eastAsia" w:eastAsiaTheme="minorEastAsia"/>
          <w:sz w:val="21"/>
          <w:szCs w:val="21"/>
          <w:lang w:val="en-US" w:eastAsia="zh-CN"/>
        </w:rPr>
        <w:t>参考文献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_Toc16520 \h </w:instrText>
      </w:r>
      <w:r>
        <w:rPr>
          <w:rFonts w:hint="eastAsia" w:ascii="宋体" w:hAnsi="宋体" w:eastAsia="宋体" w:cs="宋体"/>
          <w:sz w:val="21"/>
          <w:szCs w:val="21"/>
        </w:rPr>
        <w:fldChar w:fldCharType="separate"/>
      </w:r>
      <w:r>
        <w:rPr>
          <w:rFonts w:hint="eastAsia" w:ascii="宋体" w:hAnsi="宋体" w:eastAsia="宋体" w:cs="宋体"/>
          <w:sz w:val="21"/>
          <w:szCs w:val="21"/>
        </w:rPr>
        <w:t>14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15"/>
      </w:pPr>
      <w:r>
        <w:rPr>
          <w:rFonts w:hint="eastAsia" w:ascii="宋体" w:hAnsi="宋体" w:eastAsia="宋体" w:cs="宋体"/>
          <w:sz w:val="21"/>
          <w:szCs w:val="21"/>
        </w:rPr>
        <w:fldChar w:fldCharType="end"/>
      </w:r>
    </w:p>
    <w:p>
      <w:pPr>
        <w:pStyle w:val="2"/>
      </w:pPr>
    </w:p>
    <w:p>
      <w:pPr>
        <w:pStyle w:val="2"/>
      </w:pPr>
    </w:p>
    <w:p>
      <w:pPr>
        <w:pStyle w:val="2"/>
      </w:pPr>
    </w:p>
    <w:p>
      <w:pPr>
        <w:pStyle w:val="2"/>
      </w:pPr>
    </w:p>
    <w:p>
      <w:pPr>
        <w:pStyle w:val="2"/>
      </w:pPr>
    </w:p>
    <w:p>
      <w:pPr>
        <w:pStyle w:val="2"/>
      </w:pPr>
    </w:p>
    <w:p>
      <w:pPr>
        <w:pStyle w:val="2"/>
      </w:pPr>
    </w:p>
    <w:p>
      <w:pPr>
        <w:pStyle w:val="2"/>
        <w:rPr>
          <w:rFonts w:ascii="宋体" w:hAnsi="宋体" w:eastAsia="宋体" w:cs="宋体"/>
          <w:szCs w:val="21"/>
        </w:rPr>
        <w:sectPr>
          <w:headerReference r:id="rId3" w:type="default"/>
          <w:footerReference r:id="rId5" w:type="default"/>
          <w:headerReference r:id="rId4" w:type="even"/>
          <w:footerReference r:id="rId6" w:type="even"/>
          <w:pgSz w:w="11906" w:h="16838"/>
          <w:pgMar w:top="1417" w:right="1134" w:bottom="1134" w:left="1418" w:header="1417" w:footer="1134" w:gutter="0"/>
          <w:pgNumType w:fmt="upperRoman" w:start="1"/>
          <w:cols w:space="425" w:num="1"/>
          <w:docGrid w:type="lines" w:linePitch="312" w:charSpace="0"/>
        </w:sectPr>
      </w:pPr>
    </w:p>
    <w:p>
      <w:pPr>
        <w:pStyle w:val="2"/>
        <w:rPr>
          <w:rFonts w:ascii="宋体" w:hAnsi="宋体" w:eastAsia="宋体" w:cs="宋体"/>
          <w:szCs w:val="21"/>
        </w:rPr>
        <w:sectPr>
          <w:headerReference r:id="rId7" w:type="default"/>
          <w:footerReference r:id="rId9" w:type="default"/>
          <w:headerReference r:id="rId8" w:type="even"/>
          <w:footerReference r:id="rId10" w:type="even"/>
          <w:pgSz w:w="11906" w:h="16838"/>
          <w:pgMar w:top="1417" w:right="1134" w:bottom="1134" w:left="1418" w:header="1417" w:footer="1134" w:gutter="0"/>
          <w:pgNumType w:fmt="upperRoman" w:start="1"/>
          <w:cols w:space="425" w:num="1"/>
          <w:docGrid w:type="lines" w:linePitch="312" w:charSpace="0"/>
        </w:sectPr>
      </w:pPr>
    </w:p>
    <w:p>
      <w:pPr>
        <w:snapToGrid w:val="0"/>
        <w:spacing w:before="567" w:after="680"/>
        <w:jc w:val="center"/>
        <w:outlineLvl w:val="0"/>
        <w:rPr>
          <w:rFonts w:ascii="黑体" w:hAnsi="黑体" w:eastAsia="黑体" w:cs="黑体"/>
          <w:kern w:val="0"/>
          <w:sz w:val="32"/>
          <w:szCs w:val="32"/>
        </w:rPr>
      </w:pPr>
      <w:bookmarkStart w:id="2" w:name="_Toc5091"/>
      <w:r>
        <w:rPr>
          <w:rFonts w:hint="eastAsia" w:ascii="黑体" w:hAnsi="黑体" w:eastAsia="黑体" w:cs="黑体"/>
          <w:kern w:val="0"/>
          <w:sz w:val="32"/>
          <w:szCs w:val="32"/>
        </w:rPr>
        <w:t>前    言</w:t>
      </w:r>
      <w:bookmarkEnd w:id="2"/>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本文件按照</w:t>
      </w:r>
      <w:r>
        <w:rPr>
          <w:rFonts w:ascii="宋体" w:hAnsi="宋体" w:eastAsia="宋体" w:cs="宋体"/>
          <w:kern w:val="0"/>
          <w:szCs w:val="21"/>
        </w:rPr>
        <w:t>GB</w:t>
      </w:r>
      <w:r>
        <w:rPr>
          <w:rFonts w:hint="eastAsia" w:ascii="宋体" w:hAnsi="宋体" w:eastAsia="宋体" w:cs="宋体"/>
          <w:kern w:val="0"/>
          <w:szCs w:val="21"/>
        </w:rPr>
        <w:t>/</w:t>
      </w:r>
      <w:r>
        <w:rPr>
          <w:rFonts w:ascii="宋体" w:hAnsi="宋体" w:eastAsia="宋体" w:cs="宋体"/>
          <w:kern w:val="0"/>
          <w:szCs w:val="21"/>
        </w:rPr>
        <w:t>T</w:t>
      </w:r>
      <w:r>
        <w:rPr>
          <w:rFonts w:hint="eastAsia" w:ascii="宋体" w:hAnsi="宋体" w:eastAsia="宋体" w:cs="宋体"/>
          <w:kern w:val="0"/>
          <w:szCs w:val="21"/>
        </w:rPr>
        <w:t xml:space="preserve"> </w:t>
      </w:r>
      <w:r>
        <w:rPr>
          <w:rFonts w:ascii="宋体" w:hAnsi="宋体" w:eastAsia="宋体" w:cs="宋体"/>
          <w:kern w:val="0"/>
          <w:szCs w:val="21"/>
        </w:rPr>
        <w:t>1.1—2020</w:t>
      </w:r>
      <w:r>
        <w:rPr>
          <w:rFonts w:hint="eastAsia" w:ascii="宋体" w:hAnsi="宋体" w:eastAsia="宋体" w:cs="宋体"/>
          <w:kern w:val="0"/>
          <w:szCs w:val="21"/>
        </w:rPr>
        <w:t>《标准</w:t>
      </w:r>
      <w:r>
        <w:rPr>
          <w:rFonts w:ascii="宋体" w:hAnsi="宋体" w:eastAsia="宋体" w:cs="宋体"/>
          <w:kern w:val="0"/>
          <w:szCs w:val="21"/>
        </w:rPr>
        <w:t>化工作导则</w:t>
      </w:r>
      <w:r>
        <w:rPr>
          <w:rFonts w:hint="eastAsia" w:ascii="宋体" w:hAnsi="宋体" w:eastAsia="宋体" w:cs="宋体"/>
          <w:kern w:val="0"/>
          <w:szCs w:val="21"/>
        </w:rPr>
        <w:t xml:space="preserve">  第1部分：</w:t>
      </w:r>
      <w:r>
        <w:rPr>
          <w:rFonts w:ascii="宋体" w:hAnsi="宋体" w:eastAsia="宋体" w:cs="宋体"/>
          <w:kern w:val="0"/>
          <w:szCs w:val="21"/>
        </w:rPr>
        <w:t>标准化文件的</w:t>
      </w:r>
      <w:r>
        <w:rPr>
          <w:rFonts w:hint="eastAsia" w:ascii="宋体" w:hAnsi="宋体" w:eastAsia="宋体" w:cs="宋体"/>
          <w:kern w:val="0"/>
          <w:szCs w:val="21"/>
        </w:rPr>
        <w:t>结构</w:t>
      </w:r>
      <w:r>
        <w:rPr>
          <w:rFonts w:ascii="宋体" w:hAnsi="宋体" w:eastAsia="宋体" w:cs="宋体"/>
          <w:kern w:val="0"/>
          <w:szCs w:val="21"/>
        </w:rPr>
        <w:t>和起草规则</w:t>
      </w:r>
      <w:r>
        <w:rPr>
          <w:rFonts w:hint="eastAsia" w:ascii="宋体" w:hAnsi="宋体" w:eastAsia="宋体" w:cs="宋体"/>
          <w:kern w:val="0"/>
          <w:szCs w:val="21"/>
        </w:rPr>
        <w:t>》的</w:t>
      </w:r>
      <w:r>
        <w:rPr>
          <w:rFonts w:ascii="宋体" w:hAnsi="宋体" w:eastAsia="宋体" w:cs="宋体"/>
          <w:kern w:val="0"/>
          <w:szCs w:val="21"/>
        </w:rPr>
        <w:t>规定</w:t>
      </w:r>
      <w:r>
        <w:rPr>
          <w:rFonts w:hint="eastAsia" w:ascii="宋体" w:hAnsi="宋体" w:eastAsia="宋体" w:cs="宋体"/>
          <w:kern w:val="0"/>
          <w:szCs w:val="21"/>
        </w:rPr>
        <w:t>起草。</w:t>
      </w:r>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请注意本文件</w:t>
      </w:r>
      <w:r>
        <w:rPr>
          <w:rFonts w:ascii="宋体" w:hAnsi="宋体" w:eastAsia="宋体" w:cs="宋体"/>
          <w:kern w:val="0"/>
          <w:szCs w:val="21"/>
        </w:rPr>
        <w:t>的某些内容可能涉及专利</w:t>
      </w:r>
      <w:r>
        <w:rPr>
          <w:rFonts w:hint="eastAsia" w:ascii="宋体" w:hAnsi="宋体" w:eastAsia="宋体" w:cs="宋体"/>
          <w:kern w:val="0"/>
          <w:szCs w:val="21"/>
        </w:rPr>
        <w:t>。</w:t>
      </w:r>
      <w:r>
        <w:rPr>
          <w:rFonts w:ascii="宋体" w:hAnsi="宋体" w:eastAsia="宋体" w:cs="宋体"/>
          <w:kern w:val="0"/>
          <w:szCs w:val="21"/>
        </w:rPr>
        <w:t>本文件的</w:t>
      </w:r>
      <w:r>
        <w:rPr>
          <w:rFonts w:hint="eastAsia" w:ascii="宋体" w:hAnsi="宋体" w:eastAsia="宋体" w:cs="宋体"/>
          <w:kern w:val="0"/>
          <w:szCs w:val="21"/>
        </w:rPr>
        <w:t>发布</w:t>
      </w:r>
      <w:r>
        <w:rPr>
          <w:rFonts w:ascii="宋体" w:hAnsi="宋体" w:eastAsia="宋体" w:cs="宋体"/>
          <w:kern w:val="0"/>
          <w:szCs w:val="21"/>
        </w:rPr>
        <w:t>机构不承担识别专利的责任。</w:t>
      </w:r>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本文件由苏州市体育局提出</w:t>
      </w:r>
      <w:r>
        <w:rPr>
          <w:rFonts w:hint="eastAsia" w:ascii="宋体" w:hAnsi="宋体" w:eastAsia="宋体" w:cs="宋体"/>
          <w:kern w:val="0"/>
          <w:szCs w:val="21"/>
          <w:lang w:eastAsia="zh-CN"/>
        </w:rPr>
        <w:t>、</w:t>
      </w:r>
      <w:r>
        <w:rPr>
          <w:rFonts w:hint="eastAsia" w:ascii="宋体" w:hAnsi="宋体" w:eastAsia="宋体" w:cs="宋体"/>
          <w:kern w:val="0"/>
          <w:szCs w:val="21"/>
        </w:rPr>
        <w:t>归口并组织实施。</w:t>
      </w:r>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本文件起草单位：苏州市市民健身中心、苏州市体育局、苏州大学体育学院、姑苏区教育体育和文化旅游委员会、苏州市妇女儿童活动中心、苏州工业园区新时代市民中心管理有限公司。</w:t>
      </w:r>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本文件主要起草人：王虎、李思思、邢琛、金怡、李志国、张茜、张庆、陈丽、陈娟、赵文、胡冠宇。</w:t>
      </w:r>
    </w:p>
    <w:p>
      <w:pPr>
        <w:snapToGrid w:val="0"/>
        <w:ind w:firstLine="420" w:firstLineChars="200"/>
        <w:rPr>
          <w:rFonts w:ascii="宋体" w:hAnsi="宋体" w:eastAsia="宋体" w:cs="宋体"/>
          <w:kern w:val="0"/>
          <w:szCs w:val="21"/>
        </w:rPr>
        <w:sectPr>
          <w:footerReference r:id="rId12" w:type="default"/>
          <w:headerReference r:id="rId11" w:type="even"/>
          <w:footerReference r:id="rId13" w:type="even"/>
          <w:pgSz w:w="11906" w:h="16838"/>
          <w:pgMar w:top="1417" w:right="1134" w:bottom="1134" w:left="1418" w:header="1417" w:footer="1134" w:gutter="0"/>
          <w:pgNumType w:fmt="upperRoman" w:start="2"/>
          <w:cols w:space="425" w:num="1"/>
          <w:docGrid w:type="lines" w:linePitch="312" w:charSpace="0"/>
        </w:sectPr>
      </w:pPr>
    </w:p>
    <w:p>
      <w:pPr>
        <w:pStyle w:val="2"/>
      </w:pPr>
    </w:p>
    <w:p>
      <w:pPr>
        <w:pStyle w:val="2"/>
        <w:sectPr>
          <w:footerReference r:id="rId14" w:type="default"/>
          <w:footerReference r:id="rId15" w:type="even"/>
          <w:pgSz w:w="11906" w:h="16838"/>
          <w:pgMar w:top="1417" w:right="1134" w:bottom="1134" w:left="1418" w:header="1417" w:footer="1134" w:gutter="0"/>
          <w:pgNumType w:fmt="upperRoman"/>
          <w:cols w:space="425" w:num="1"/>
          <w:docGrid w:type="lines" w:linePitch="312" w:charSpace="0"/>
        </w:sectPr>
      </w:pPr>
    </w:p>
    <w:p>
      <w:pPr>
        <w:widowControl/>
        <w:spacing w:before="567" w:after="680"/>
        <w:jc w:val="center"/>
        <w:rPr>
          <w:rFonts w:ascii="黑体" w:hAnsi="黑体" w:eastAsia="黑体"/>
          <w:bCs/>
          <w:sz w:val="32"/>
          <w:szCs w:val="32"/>
        </w:rPr>
      </w:pPr>
      <w:bookmarkStart w:id="3" w:name="SectionMark4"/>
      <w:r>
        <w:rPr>
          <w:rFonts w:hint="eastAsia" w:ascii="黑体" w:hAnsi="宋体" w:eastAsia="黑体"/>
          <w:sz w:val="32"/>
          <w:szCs w:val="32"/>
        </w:rPr>
        <w:t>运动促进健康中心建设指南</w:t>
      </w:r>
    </w:p>
    <w:bookmarkEnd w:id="3"/>
    <w:p>
      <w:pPr>
        <w:pStyle w:val="66"/>
        <w:spacing w:before="312" w:after="312"/>
      </w:pPr>
      <w:bookmarkStart w:id="4" w:name="_Toc48028304"/>
      <w:bookmarkStart w:id="5" w:name="_Toc122448156"/>
      <w:bookmarkStart w:id="6" w:name="_Toc15741"/>
      <w:bookmarkStart w:id="7" w:name="_Toc47973642"/>
      <w:bookmarkStart w:id="8" w:name="_Toc21213"/>
      <w:bookmarkStart w:id="9" w:name="_Toc10375"/>
      <w:bookmarkStart w:id="10" w:name="_Toc67393169"/>
      <w:bookmarkStart w:id="11" w:name="_Toc30515"/>
      <w:bookmarkStart w:id="12" w:name="_Toc47964512"/>
      <w:bookmarkStart w:id="13" w:name="_Toc115339701"/>
      <w:bookmarkStart w:id="14" w:name="_Toc67401897"/>
      <w:bookmarkStart w:id="15" w:name="_Toc47973431"/>
      <w:bookmarkStart w:id="16" w:name="_Toc87811223"/>
      <w:bookmarkStart w:id="17" w:name="_Toc48028397"/>
      <w:bookmarkStart w:id="18" w:name="_Toc48569571"/>
      <w:bookmarkStart w:id="19" w:name="_Toc48049835"/>
      <w:bookmarkStart w:id="20" w:name="_Toc51663569"/>
      <w:bookmarkStart w:id="21" w:name="_Toc51147912"/>
      <w:bookmarkStart w:id="22" w:name="_Toc87811368"/>
      <w:bookmarkStart w:id="23" w:name="_Toc47964470"/>
      <w:bookmarkStart w:id="24" w:name="_Toc48572088"/>
      <w:bookmarkStart w:id="25" w:name="_Toc27564"/>
      <w:bookmarkStart w:id="26" w:name="_Toc48050151"/>
      <w:bookmarkStart w:id="27" w:name="_Toc40454690"/>
      <w:bookmarkStart w:id="28" w:name="_Toc66965087"/>
      <w:bookmarkStart w:id="29" w:name="_Toc46494722"/>
      <w:r>
        <w:rPr>
          <w:rFonts w:hint="eastAsia"/>
        </w:rPr>
        <w:t>范围</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pStyle w:val="51"/>
      </w:pPr>
      <w:r>
        <w:rPr>
          <w:rFonts w:hint="eastAsia"/>
        </w:rPr>
        <w:t>本文件提供了运动促进健康中心建设的总体原则、建设分级、选址、设施、功能区设置、软硬件设备以及器材配置、标志标识、监督评价与改进的指导。</w:t>
      </w:r>
    </w:p>
    <w:p>
      <w:pPr>
        <w:pStyle w:val="51"/>
      </w:pPr>
      <w:r>
        <w:rPr>
          <w:rFonts w:hint="eastAsia"/>
        </w:rPr>
        <w:t>本文件适用于新建运动促进健康中心的建设。</w:t>
      </w:r>
    </w:p>
    <w:p>
      <w:pPr>
        <w:pStyle w:val="66"/>
        <w:spacing w:before="312" w:after="312"/>
      </w:pPr>
      <w:bookmarkStart w:id="30" w:name="_Toc27904"/>
      <w:bookmarkStart w:id="31" w:name="_Toc87811369"/>
      <w:bookmarkStart w:id="32" w:name="_Toc48572089"/>
      <w:bookmarkStart w:id="33" w:name="_Toc48028305"/>
      <w:bookmarkStart w:id="34" w:name="_Toc29824"/>
      <w:bookmarkStart w:id="35" w:name="_Toc48049836"/>
      <w:bookmarkStart w:id="36" w:name="_Toc5397"/>
      <w:bookmarkStart w:id="37" w:name="_Toc48028398"/>
      <w:bookmarkStart w:id="38" w:name="_Toc29099"/>
      <w:bookmarkStart w:id="39" w:name="_Toc40454691"/>
      <w:bookmarkStart w:id="40" w:name="_Toc47964471"/>
      <w:bookmarkStart w:id="41" w:name="_Toc47973643"/>
      <w:bookmarkStart w:id="42" w:name="_Toc115339702"/>
      <w:bookmarkStart w:id="43" w:name="_Toc47964513"/>
      <w:bookmarkStart w:id="44" w:name="_Toc87811224"/>
      <w:bookmarkStart w:id="45" w:name="_Toc51147913"/>
      <w:bookmarkStart w:id="46" w:name="_Toc67393170"/>
      <w:bookmarkStart w:id="47" w:name="_Toc47973432"/>
      <w:bookmarkStart w:id="48" w:name="_Toc67401898"/>
      <w:bookmarkStart w:id="49" w:name="_Toc48050152"/>
      <w:bookmarkStart w:id="50" w:name="_Toc122448157"/>
      <w:bookmarkStart w:id="51" w:name="_Toc46494723"/>
      <w:bookmarkStart w:id="52" w:name="_Toc48569572"/>
      <w:bookmarkStart w:id="53" w:name="_Toc27351"/>
      <w:bookmarkStart w:id="54" w:name="_Toc66965088"/>
      <w:bookmarkStart w:id="55" w:name="_Toc51663570"/>
      <w:r>
        <w:rPr>
          <w:rFonts w:hint="eastAsia"/>
        </w:rPr>
        <w:t>规范性引用文件</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pStyle w:val="51"/>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1"/>
      </w:pPr>
      <w:r>
        <w:rPr>
          <w:rFonts w:hint="eastAsia"/>
        </w:rPr>
        <w:t>GB 3096  声环境质量标准</w:t>
      </w:r>
    </w:p>
    <w:p>
      <w:pPr>
        <w:pStyle w:val="51"/>
      </w:pPr>
      <w:r>
        <w:rPr>
          <w:rFonts w:hint="eastAsia"/>
        </w:rPr>
        <w:t>GB 4706.10  家用和类似用途电器的安全 按摩器具的特殊要求</w:t>
      </w:r>
    </w:p>
    <w:p>
      <w:pPr>
        <w:pStyle w:val="51"/>
      </w:pPr>
      <w:r>
        <w:rPr>
          <w:rFonts w:hint="eastAsia"/>
        </w:rPr>
        <w:t>GB 13495  消防安全标志</w:t>
      </w:r>
    </w:p>
    <w:p>
      <w:pPr>
        <w:pStyle w:val="51"/>
      </w:pPr>
      <w:r>
        <w:rPr>
          <w:rFonts w:hint="eastAsia"/>
        </w:rPr>
        <w:t>GB 17498</w:t>
      </w:r>
      <w:r>
        <w:rPr>
          <w:rFonts w:hint="eastAsia"/>
          <w:lang w:val="en-US" w:eastAsia="zh-CN"/>
        </w:rPr>
        <w:t xml:space="preserve">  </w:t>
      </w:r>
      <w:r>
        <w:rPr>
          <w:rFonts w:hint="eastAsia"/>
        </w:rPr>
        <w:t>（所有部分） 固定式健身器材</w:t>
      </w:r>
    </w:p>
    <w:p>
      <w:pPr>
        <w:pStyle w:val="51"/>
      </w:pPr>
      <w:r>
        <w:rPr>
          <w:rFonts w:hint="eastAsia"/>
        </w:rPr>
        <w:t>GB/T 18883  室内空气质量标准</w:t>
      </w:r>
    </w:p>
    <w:p>
      <w:pPr>
        <w:pStyle w:val="51"/>
      </w:pPr>
      <w:r>
        <w:rPr>
          <w:rFonts w:hint="eastAsia"/>
        </w:rPr>
        <w:t>GB/T 19634  体外诊断检验系统 自测用血糖监测系统通用技术条件</w:t>
      </w:r>
    </w:p>
    <w:p>
      <w:pPr>
        <w:pStyle w:val="51"/>
      </w:pPr>
      <w:r>
        <w:rPr>
          <w:rFonts w:hint="eastAsia"/>
        </w:rPr>
        <w:t>GB/T 26189  室内工作场所的照明</w:t>
      </w:r>
    </w:p>
    <w:p>
      <w:pPr>
        <w:pStyle w:val="51"/>
      </w:pPr>
      <w:r>
        <w:rPr>
          <w:rFonts w:hint="eastAsia"/>
        </w:rPr>
        <w:t>GB/T 28919  康复训练器械站立架</w:t>
      </w:r>
    </w:p>
    <w:p>
      <w:pPr>
        <w:pStyle w:val="51"/>
      </w:pPr>
      <w:r>
        <w:rPr>
          <w:rFonts w:hint="eastAsia"/>
        </w:rPr>
        <w:t>GB/T 34289  健身器材和健身场所安全标志和标签</w:t>
      </w:r>
    </w:p>
    <w:p>
      <w:pPr>
        <w:pStyle w:val="51"/>
      </w:pPr>
      <w:r>
        <w:rPr>
          <w:rFonts w:hint="eastAsia"/>
        </w:rPr>
        <w:t>GB 37488  公共场所卫生指标及限值要求</w:t>
      </w:r>
    </w:p>
    <w:p>
      <w:pPr>
        <w:pStyle w:val="51"/>
      </w:pPr>
      <w:r>
        <w:rPr>
          <w:rFonts w:hint="eastAsia"/>
        </w:rPr>
        <w:t>GB 50016  建筑设计防火规范</w:t>
      </w:r>
    </w:p>
    <w:p>
      <w:pPr>
        <w:pStyle w:val="51"/>
      </w:pPr>
      <w:r>
        <w:rPr>
          <w:rFonts w:hint="eastAsia"/>
        </w:rPr>
        <w:t>GB 50084  自动喷水灭火系统设计规范</w:t>
      </w:r>
    </w:p>
    <w:p>
      <w:pPr>
        <w:pStyle w:val="51"/>
      </w:pPr>
      <w:r>
        <w:rPr>
          <w:rFonts w:hint="eastAsia"/>
        </w:rPr>
        <w:t>GB 50140  建筑灭火器配置设计规范</w:t>
      </w:r>
    </w:p>
    <w:p>
      <w:pPr>
        <w:pStyle w:val="51"/>
      </w:pPr>
      <w:r>
        <w:rPr>
          <w:rFonts w:hint="eastAsia"/>
        </w:rPr>
        <w:t>GB 50763  无障碍设计规范</w:t>
      </w:r>
    </w:p>
    <w:p>
      <w:pPr>
        <w:pStyle w:val="51"/>
      </w:pPr>
      <w:r>
        <w:rPr>
          <w:rFonts w:hint="eastAsia"/>
        </w:rPr>
        <w:t>GB 55016  建筑环境通用规范</w:t>
      </w:r>
    </w:p>
    <w:p>
      <w:pPr>
        <w:pStyle w:val="51"/>
      </w:pPr>
      <w:r>
        <w:rPr>
          <w:rFonts w:hint="eastAsia"/>
        </w:rPr>
        <w:t>TY/T 1002.2  体育照明使用要求及检验方法 第2部分：综合体育馆</w:t>
      </w:r>
    </w:p>
    <w:p>
      <w:pPr>
        <w:pStyle w:val="51"/>
      </w:pPr>
      <w:r>
        <w:rPr>
          <w:rFonts w:hint="eastAsia"/>
        </w:rPr>
        <w:t>TY/T 2001  国民体质测试器材通用要求</w:t>
      </w:r>
    </w:p>
    <w:p>
      <w:pPr>
        <w:pStyle w:val="66"/>
        <w:spacing w:before="312" w:after="312"/>
        <w:rPr>
          <w:szCs w:val="21"/>
        </w:rPr>
      </w:pPr>
      <w:bookmarkStart w:id="56" w:name="_Toc115339703"/>
      <w:bookmarkStart w:id="57" w:name="_Toc87811225"/>
      <w:bookmarkStart w:id="58" w:name="_Toc122448158"/>
      <w:bookmarkStart w:id="59" w:name="_Toc67401899"/>
      <w:bookmarkStart w:id="60" w:name="_Toc67393171"/>
      <w:bookmarkStart w:id="61" w:name="_Toc22953"/>
      <w:bookmarkStart w:id="62" w:name="_Toc87811370"/>
      <w:r>
        <w:rPr>
          <w:rFonts w:hint="eastAsia"/>
          <w:szCs w:val="21"/>
        </w:rPr>
        <w:t>术语和定义</w:t>
      </w:r>
      <w:bookmarkEnd w:id="56"/>
      <w:bookmarkEnd w:id="57"/>
      <w:bookmarkEnd w:id="58"/>
      <w:bookmarkEnd w:id="59"/>
      <w:bookmarkEnd w:id="60"/>
      <w:bookmarkEnd w:id="61"/>
      <w:bookmarkEnd w:id="62"/>
    </w:p>
    <w:p>
      <w:pPr>
        <w:pStyle w:val="51"/>
      </w:pPr>
      <w:r>
        <w:rPr>
          <w:rFonts w:hint="eastAsia"/>
        </w:rPr>
        <w:t>下列术语和定义适用于本文件。</w:t>
      </w:r>
    </w:p>
    <w:p>
      <w:pPr>
        <w:pStyle w:val="63"/>
        <w:ind w:left="420" w:hanging="420" w:hangingChars="200"/>
        <w:rPr>
          <w:rFonts w:ascii="黑体" w:hAnsi="黑体" w:eastAsia="黑体"/>
        </w:rPr>
      </w:pPr>
    </w:p>
    <w:p>
      <w:pPr>
        <w:pStyle w:val="63"/>
        <w:numPr>
          <w:ilvl w:val="0"/>
          <w:numId w:val="0"/>
        </w:numPr>
        <w:ind w:left="420"/>
        <w:rPr>
          <w:rFonts w:ascii="黑体" w:hAnsi="黑体" w:eastAsia="黑体"/>
        </w:rPr>
      </w:pPr>
      <w:r>
        <w:rPr>
          <w:rFonts w:hint="eastAsia" w:ascii="黑体" w:hAnsi="黑体" w:eastAsia="黑体"/>
        </w:rPr>
        <w:t xml:space="preserve">运动促进健康中心  </w:t>
      </w:r>
      <w:r>
        <w:rPr>
          <w:rFonts w:ascii="黑体" w:hAnsi="黑体" w:eastAsia="黑体"/>
        </w:rPr>
        <w:t>exercise promotes health centers</w:t>
      </w:r>
    </w:p>
    <w:p>
      <w:pPr>
        <w:pStyle w:val="51"/>
        <w:rPr>
          <w:rFonts w:hint="eastAsia"/>
        </w:rPr>
      </w:pPr>
      <w:r>
        <w:rPr>
          <w:rFonts w:hint="eastAsia"/>
        </w:rPr>
        <w:t>通过科学运动与精准医疗的结合，为不同年龄和健康状况的群众提供个性化的健康管理和运动促进服务的综合性健康服务机构。</w:t>
      </w:r>
    </w:p>
    <w:p>
      <w:pPr>
        <w:pStyle w:val="51"/>
        <w:rPr>
          <w:rFonts w:hint="eastAsia"/>
        </w:rPr>
      </w:pPr>
    </w:p>
    <w:p>
      <w:pPr>
        <w:pStyle w:val="63"/>
        <w:ind w:left="420" w:hanging="420" w:hangingChars="200"/>
        <w:rPr>
          <w:rFonts w:ascii="黑体" w:hAnsi="黑体" w:eastAsia="黑体"/>
        </w:rPr>
      </w:pPr>
      <w:bookmarkStart w:id="63" w:name="_Toc500938708"/>
      <w:bookmarkEnd w:id="63"/>
      <w:bookmarkStart w:id="64" w:name="_Toc87811371"/>
      <w:bookmarkEnd w:id="64"/>
      <w:bookmarkStart w:id="65" w:name="_Toc502157201"/>
      <w:bookmarkEnd w:id="65"/>
      <w:bookmarkStart w:id="66" w:name="_Toc87811226"/>
      <w:bookmarkEnd w:id="66"/>
      <w:bookmarkStart w:id="67" w:name="_Toc500955126"/>
      <w:bookmarkEnd w:id="67"/>
      <w:bookmarkStart w:id="68" w:name="_Toc67401900"/>
      <w:bookmarkEnd w:id="68"/>
      <w:bookmarkStart w:id="69" w:name="_Toc67393172"/>
      <w:bookmarkEnd w:id="69"/>
    </w:p>
    <w:p>
      <w:pPr>
        <w:pStyle w:val="63"/>
        <w:numPr>
          <w:ilvl w:val="0"/>
          <w:numId w:val="0"/>
        </w:numPr>
        <w:ind w:left="420"/>
        <w:rPr>
          <w:rFonts w:ascii="黑体" w:hAnsi="黑体" w:eastAsia="黑体"/>
        </w:rPr>
      </w:pPr>
      <w:r>
        <w:rPr>
          <w:rFonts w:hint="eastAsia" w:ascii="黑体" w:hAnsi="黑体" w:eastAsia="黑体"/>
        </w:rPr>
        <w:t>运动处方  exercise prescription</w:t>
      </w:r>
    </w:p>
    <w:p>
      <w:pPr>
        <w:pStyle w:val="51"/>
      </w:pPr>
      <w:r>
        <w:rPr>
          <w:rFonts w:hint="eastAsia"/>
        </w:rPr>
        <w:t>依据参加体育活动者的年龄、性别、个人健康信息、医学检查、体育活动的经历以及心肺耐力等体质测试结果，并根据健身目的，用处方的形式制订的系统化、个性化的体育活动指导方案。</w:t>
      </w:r>
    </w:p>
    <w:p>
      <w:pPr>
        <w:pStyle w:val="63"/>
        <w:ind w:left="420" w:hanging="420" w:hangingChars="200"/>
        <w:rPr>
          <w:rFonts w:ascii="黑体" w:hAnsi="黑体" w:eastAsia="黑体"/>
        </w:rPr>
      </w:pPr>
    </w:p>
    <w:p>
      <w:pPr>
        <w:pStyle w:val="63"/>
        <w:numPr>
          <w:ilvl w:val="0"/>
          <w:numId w:val="0"/>
        </w:numPr>
        <w:ind w:left="420"/>
        <w:rPr>
          <w:rFonts w:ascii="黑体" w:hAnsi="黑体" w:eastAsia="黑体"/>
        </w:rPr>
      </w:pPr>
      <w:r>
        <w:rPr>
          <w:rFonts w:hint="eastAsia" w:ascii="黑体" w:hAnsi="黑体" w:eastAsia="黑体"/>
        </w:rPr>
        <w:t>体适能  physical fitness</w:t>
      </w:r>
    </w:p>
    <w:p>
      <w:pPr>
        <w:pStyle w:val="51"/>
      </w:pPr>
      <w:r>
        <w:rPr>
          <w:rFonts w:hint="eastAsia"/>
        </w:rPr>
        <w:t>身体有足够的活力和精力进行日常活动，而不会感到过度疲劳，并且还有足够的精力享受休闲活动和应对突发事件的能力。</w:t>
      </w:r>
    </w:p>
    <w:p>
      <w:pPr>
        <w:pStyle w:val="66"/>
        <w:spacing w:before="312" w:after="312"/>
      </w:pPr>
      <w:bookmarkStart w:id="70" w:name="_Toc23215"/>
      <w:bookmarkStart w:id="71" w:name="_Toc181957595"/>
      <w:bookmarkStart w:id="72" w:name="_Toc180488120"/>
      <w:bookmarkStart w:id="73" w:name="_Toc181792066"/>
      <w:r>
        <w:rPr>
          <w:rFonts w:hint="eastAsia"/>
        </w:rPr>
        <w:t>总体原则</w:t>
      </w:r>
      <w:bookmarkEnd w:id="70"/>
      <w:bookmarkEnd w:id="71"/>
      <w:bookmarkEnd w:id="72"/>
      <w:bookmarkEnd w:id="73"/>
    </w:p>
    <w:p>
      <w:pPr>
        <w:pStyle w:val="67"/>
        <w:ind w:firstLine="420"/>
      </w:pPr>
      <w:r>
        <w:rPr>
          <w:rFonts w:hint="eastAsia"/>
        </w:rPr>
        <w:t>坚持以人为本的原则，充分考虑群众的运动健康需求；遵循安全适用原则，空间科学布局，合理安放家具、检测设备和其他设施；遵循科学发展原则，充分考虑城市的总体发展要求。</w:t>
      </w:r>
    </w:p>
    <w:p>
      <w:pPr>
        <w:pStyle w:val="66"/>
        <w:spacing w:before="312" w:after="312"/>
      </w:pPr>
      <w:bookmarkStart w:id="74" w:name="_Toc180488121"/>
      <w:bookmarkStart w:id="75" w:name="_Toc181792067"/>
      <w:bookmarkStart w:id="76" w:name="_Toc181957596"/>
      <w:bookmarkStart w:id="77" w:name="_Toc30667"/>
      <w:r>
        <w:rPr>
          <w:rFonts w:hint="eastAsia"/>
        </w:rPr>
        <w:t>建设分级</w:t>
      </w:r>
      <w:bookmarkEnd w:id="74"/>
      <w:bookmarkEnd w:id="75"/>
      <w:bookmarkEnd w:id="76"/>
      <w:bookmarkEnd w:id="77"/>
    </w:p>
    <w:p>
      <w:pPr>
        <w:pStyle w:val="67"/>
        <w:ind w:firstLine="420"/>
      </w:pPr>
      <w:r>
        <w:rPr>
          <w:rFonts w:hint="eastAsia"/>
        </w:rPr>
        <w:t>运动促进健康中心分级建设为一级、二级和三级，各级建设内容的必备条件和加分内容见附录A。一、二、三级建设满足必备条件后，再进行评分。</w:t>
      </w:r>
    </w:p>
    <w:p>
      <w:pPr>
        <w:pStyle w:val="66"/>
        <w:spacing w:before="312" w:after="312"/>
      </w:pPr>
      <w:bookmarkStart w:id="78" w:name="_Toc181792068"/>
      <w:bookmarkStart w:id="79" w:name="_Toc180488122"/>
      <w:bookmarkStart w:id="80" w:name="_Toc27356"/>
      <w:bookmarkStart w:id="81" w:name="_Toc181957597"/>
      <w:r>
        <w:rPr>
          <w:rFonts w:hint="eastAsia"/>
        </w:rPr>
        <w:t>选址</w:t>
      </w:r>
      <w:bookmarkEnd w:id="78"/>
      <w:bookmarkEnd w:id="79"/>
      <w:bookmarkEnd w:id="80"/>
      <w:bookmarkEnd w:id="81"/>
    </w:p>
    <w:p>
      <w:pPr>
        <w:pStyle w:val="64"/>
      </w:pPr>
      <w:r>
        <w:rPr>
          <w:rFonts w:hint="eastAsia"/>
        </w:rPr>
        <w:t>结合医疗服务，体育场地场馆，社区街道适宜空间覆盖情况和群众集中活动情况，优先在现有上述场所设置。</w:t>
      </w:r>
    </w:p>
    <w:p>
      <w:pPr>
        <w:pStyle w:val="64"/>
      </w:pPr>
      <w:r>
        <w:rPr>
          <w:rFonts w:hint="eastAsia"/>
        </w:rPr>
        <w:t>根据区位条件、人口分布规模及特点，结合群众健康需求、健康服务供给和管理实际情况建设。宜在下列场所的第一和第二层设置运动促进健康中心：</w:t>
      </w:r>
    </w:p>
    <w:p>
      <w:pPr>
        <w:pStyle w:val="84"/>
        <w:numPr>
          <w:ilvl w:val="0"/>
          <w:numId w:val="4"/>
        </w:numPr>
        <w:ind w:left="851" w:hanging="426"/>
      </w:pPr>
      <w:r>
        <w:rPr>
          <w:rFonts w:hint="eastAsia"/>
        </w:rPr>
        <w:t>体育馆、健身房等体育锻炼场所；</w:t>
      </w:r>
    </w:p>
    <w:p>
      <w:pPr>
        <w:pStyle w:val="84"/>
        <w:numPr>
          <w:ilvl w:val="0"/>
          <w:numId w:val="4"/>
        </w:numPr>
        <w:ind w:left="851" w:hanging="426"/>
      </w:pPr>
      <w:r>
        <w:rPr>
          <w:rFonts w:hint="eastAsia"/>
        </w:rPr>
        <w:t>社区活动中心、居委会、便民服务中心、学校、园区等工作生活聚集地；</w:t>
      </w:r>
    </w:p>
    <w:p>
      <w:pPr>
        <w:pStyle w:val="84"/>
        <w:numPr>
          <w:ilvl w:val="0"/>
          <w:numId w:val="4"/>
        </w:numPr>
        <w:ind w:left="851" w:hanging="426"/>
      </w:pPr>
      <w:r>
        <w:rPr>
          <w:rFonts w:hint="eastAsia"/>
        </w:rPr>
        <w:t>景区、公园、园林等旅游休闲场所。</w:t>
      </w:r>
    </w:p>
    <w:p>
      <w:pPr>
        <w:pStyle w:val="66"/>
        <w:spacing w:before="312" w:after="312"/>
      </w:pPr>
      <w:bookmarkStart w:id="82" w:name="_Toc29096"/>
      <w:bookmarkStart w:id="83" w:name="_Toc181957598"/>
      <w:bookmarkStart w:id="84" w:name="_Toc180488123"/>
      <w:bookmarkStart w:id="85" w:name="_Toc181792069"/>
      <w:r>
        <w:rPr>
          <w:rFonts w:hint="eastAsia"/>
        </w:rPr>
        <w:t>设施</w:t>
      </w:r>
      <w:bookmarkEnd w:id="82"/>
      <w:bookmarkEnd w:id="83"/>
      <w:bookmarkEnd w:id="84"/>
      <w:bookmarkEnd w:id="85"/>
    </w:p>
    <w:p>
      <w:pPr>
        <w:pStyle w:val="65"/>
        <w:spacing w:before="156" w:after="156"/>
      </w:pPr>
      <w:bookmarkStart w:id="86" w:name="_Toc16316"/>
      <w:bookmarkStart w:id="87" w:name="_Toc181792070"/>
      <w:bookmarkStart w:id="88" w:name="_Toc181957599"/>
      <w:bookmarkStart w:id="89" w:name="_Toc180488141"/>
      <w:bookmarkStart w:id="90" w:name="_Toc180488124"/>
      <w:r>
        <w:rPr>
          <w:rFonts w:hint="eastAsia"/>
        </w:rPr>
        <w:t>环境设施</w:t>
      </w:r>
      <w:bookmarkEnd w:id="86"/>
      <w:bookmarkEnd w:id="87"/>
      <w:bookmarkEnd w:id="88"/>
    </w:p>
    <w:p>
      <w:pPr>
        <w:pStyle w:val="69"/>
        <w:spacing w:before="156" w:after="156"/>
      </w:pPr>
      <w:bookmarkStart w:id="91" w:name="_Toc182005013"/>
      <w:bookmarkStart w:id="92" w:name="_Toc26316"/>
      <w:r>
        <w:rPr>
          <w:rFonts w:hint="eastAsia"/>
        </w:rPr>
        <w:t>声环境</w:t>
      </w:r>
      <w:bookmarkEnd w:id="89"/>
      <w:bookmarkEnd w:id="91"/>
      <w:bookmarkEnd w:id="92"/>
    </w:p>
    <w:p>
      <w:pPr>
        <w:pStyle w:val="67"/>
        <w:ind w:firstLine="420"/>
      </w:pPr>
      <w:r>
        <w:rPr>
          <w:rFonts w:hint="eastAsia"/>
        </w:rPr>
        <w:t>室内声环境减少噪声干扰，符合GB 55016、JGJ 31的声环境功能区分类要求，采取隔声、吸声、消声、隔振等设计。室内昼夜噪声符合GB 3096的规定，以满足不同功能区使用要求。</w:t>
      </w:r>
    </w:p>
    <w:p>
      <w:pPr>
        <w:pStyle w:val="69"/>
        <w:spacing w:before="156" w:after="156"/>
      </w:pPr>
      <w:bookmarkStart w:id="93" w:name="_Toc180488142"/>
      <w:bookmarkStart w:id="94" w:name="_Toc182005014"/>
      <w:bookmarkStart w:id="95" w:name="_Toc21413"/>
      <w:r>
        <w:rPr>
          <w:rFonts w:hint="eastAsia"/>
        </w:rPr>
        <w:t>光环境</w:t>
      </w:r>
      <w:bookmarkEnd w:id="93"/>
      <w:bookmarkEnd w:id="94"/>
      <w:bookmarkEnd w:id="95"/>
    </w:p>
    <w:p>
      <w:pPr>
        <w:pStyle w:val="67"/>
        <w:ind w:firstLine="420"/>
      </w:pPr>
      <w:r>
        <w:rPr>
          <w:rFonts w:hint="eastAsia"/>
        </w:rPr>
        <w:t>光环境综合协调天然采光和室内人工照明，天然采光设计根据建筑特点和不同功能区使用要求确定采光等级，室内人工照明设计根据建筑使用功能和视觉作业要求确定照明水平、照明方式和照明种类，设计符合GB 55016、GB 50034、GB/T 26189、TY/T 1002.2的要求。</w:t>
      </w:r>
    </w:p>
    <w:p>
      <w:pPr>
        <w:pStyle w:val="69"/>
        <w:spacing w:before="156" w:after="156"/>
      </w:pPr>
      <w:bookmarkStart w:id="96" w:name="_Toc182005015"/>
      <w:bookmarkStart w:id="97" w:name="_Toc25902"/>
      <w:bookmarkStart w:id="98" w:name="_Toc180488143"/>
      <w:r>
        <w:rPr>
          <w:rFonts w:hint="eastAsia"/>
        </w:rPr>
        <w:t>空气质量</w:t>
      </w:r>
      <w:bookmarkEnd w:id="96"/>
      <w:bookmarkEnd w:id="97"/>
      <w:bookmarkEnd w:id="98"/>
    </w:p>
    <w:p>
      <w:pPr>
        <w:pStyle w:val="67"/>
        <w:ind w:firstLine="420"/>
      </w:pPr>
      <w:r>
        <w:rPr>
          <w:rFonts w:hint="eastAsia"/>
        </w:rPr>
        <w:t>室内场所空气保持流动，空气质量的物理性、化学性、生物性和放射性指标及检测方法符合GB/T 18883、GB 55016的要求，配置空气调节与净化设施。</w:t>
      </w:r>
    </w:p>
    <w:p>
      <w:pPr>
        <w:pStyle w:val="69"/>
        <w:spacing w:before="156" w:after="156"/>
      </w:pPr>
      <w:bookmarkStart w:id="99" w:name="_Toc28105"/>
      <w:bookmarkStart w:id="100" w:name="_Toc182005016"/>
      <w:bookmarkStart w:id="101" w:name="_Toc180488144"/>
      <w:r>
        <w:rPr>
          <w:rFonts w:hint="eastAsia"/>
        </w:rPr>
        <w:t>温度和湿度</w:t>
      </w:r>
      <w:bookmarkEnd w:id="99"/>
      <w:bookmarkEnd w:id="100"/>
      <w:bookmarkEnd w:id="101"/>
    </w:p>
    <w:p>
      <w:pPr>
        <w:pStyle w:val="67"/>
        <w:ind w:firstLine="420"/>
      </w:pPr>
      <w:r>
        <w:rPr>
          <w:rFonts w:hint="eastAsia"/>
        </w:rPr>
        <w:t>宜配有温度、湿度调节设施，室温宜保持在24</w:t>
      </w:r>
      <w:r>
        <w:rPr>
          <w:rFonts w:hint="eastAsia"/>
          <w:vertAlign w:val="superscript"/>
        </w:rPr>
        <w:t xml:space="preserve"> </w:t>
      </w:r>
      <w:r>
        <w:rPr>
          <w:rFonts w:hint="eastAsia"/>
        </w:rPr>
        <w:t>℃～28</w:t>
      </w:r>
      <w:r>
        <w:rPr>
          <w:rFonts w:hint="eastAsia"/>
          <w:vertAlign w:val="superscript"/>
        </w:rPr>
        <w:t xml:space="preserve"> </w:t>
      </w:r>
      <w:r>
        <w:rPr>
          <w:rFonts w:hint="eastAsia"/>
        </w:rPr>
        <w:t>℃，湿度宜为50%～60%。</w:t>
      </w:r>
    </w:p>
    <w:p>
      <w:pPr>
        <w:pStyle w:val="69"/>
        <w:spacing w:before="156" w:after="156"/>
      </w:pPr>
      <w:bookmarkStart w:id="102" w:name="_Toc182005017"/>
      <w:bookmarkStart w:id="103" w:name="_Toc3072"/>
      <w:r>
        <w:rPr>
          <w:rFonts w:hint="eastAsia"/>
        </w:rPr>
        <w:t>卫生</w:t>
      </w:r>
      <w:bookmarkEnd w:id="102"/>
      <w:bookmarkEnd w:id="103"/>
    </w:p>
    <w:p>
      <w:pPr>
        <w:pStyle w:val="67"/>
        <w:ind w:firstLine="420"/>
      </w:pPr>
      <w:r>
        <w:rPr>
          <w:rFonts w:hint="eastAsia"/>
        </w:rPr>
        <w:t>配备保洁消毒用具，卫生符合GB 37488的规定。</w:t>
      </w:r>
    </w:p>
    <w:bookmarkEnd w:id="90"/>
    <w:p>
      <w:pPr>
        <w:pStyle w:val="65"/>
        <w:spacing w:before="156" w:after="156"/>
      </w:pPr>
      <w:bookmarkStart w:id="104" w:name="_Toc180488125"/>
      <w:bookmarkStart w:id="105" w:name="_Toc181792071"/>
      <w:bookmarkStart w:id="106" w:name="_Toc31286"/>
      <w:bookmarkStart w:id="107" w:name="_Toc181957600"/>
      <w:r>
        <w:rPr>
          <w:rFonts w:hint="eastAsia"/>
        </w:rPr>
        <w:t>无障碍设施</w:t>
      </w:r>
      <w:bookmarkEnd w:id="104"/>
      <w:bookmarkEnd w:id="105"/>
      <w:bookmarkEnd w:id="106"/>
      <w:bookmarkEnd w:id="107"/>
    </w:p>
    <w:p>
      <w:pPr>
        <w:pStyle w:val="67"/>
        <w:ind w:firstLine="420"/>
      </w:pPr>
      <w:r>
        <w:rPr>
          <w:rFonts w:hint="eastAsia"/>
        </w:rPr>
        <w:t>无障碍设施的设计符合GB 50763的要求，无障碍设施包括但不限于：</w:t>
      </w:r>
    </w:p>
    <w:p>
      <w:pPr>
        <w:pStyle w:val="84"/>
        <w:numPr>
          <w:ilvl w:val="0"/>
          <w:numId w:val="4"/>
        </w:numPr>
        <w:ind w:left="851" w:hanging="426"/>
      </w:pPr>
      <w:r>
        <w:rPr>
          <w:rFonts w:hint="eastAsia"/>
        </w:rPr>
        <w:t>无障碍出入口；</w:t>
      </w:r>
    </w:p>
    <w:p>
      <w:pPr>
        <w:pStyle w:val="84"/>
        <w:numPr>
          <w:ilvl w:val="0"/>
          <w:numId w:val="4"/>
        </w:numPr>
        <w:ind w:left="851" w:hanging="426"/>
      </w:pPr>
      <w:r>
        <w:rPr>
          <w:rFonts w:hint="eastAsia"/>
        </w:rPr>
        <w:t>安全扶手；</w:t>
      </w:r>
    </w:p>
    <w:p>
      <w:pPr>
        <w:pStyle w:val="84"/>
        <w:numPr>
          <w:ilvl w:val="0"/>
          <w:numId w:val="4"/>
        </w:numPr>
        <w:ind w:left="851" w:hanging="426"/>
      </w:pPr>
      <w:r>
        <w:rPr>
          <w:rFonts w:hint="eastAsia"/>
        </w:rPr>
        <w:t>无障碍卫生间；</w:t>
      </w:r>
    </w:p>
    <w:p>
      <w:pPr>
        <w:pStyle w:val="84"/>
        <w:numPr>
          <w:ilvl w:val="0"/>
          <w:numId w:val="4"/>
        </w:numPr>
        <w:ind w:left="851" w:hanging="426"/>
      </w:pPr>
      <w:r>
        <w:rPr>
          <w:rFonts w:hint="eastAsia"/>
        </w:rPr>
        <w:t>防滑地面。</w:t>
      </w:r>
    </w:p>
    <w:p>
      <w:pPr>
        <w:pStyle w:val="65"/>
        <w:spacing w:before="156" w:after="156"/>
      </w:pPr>
      <w:bookmarkStart w:id="108" w:name="_Toc181957601"/>
      <w:bookmarkStart w:id="109" w:name="_Toc180488126"/>
      <w:bookmarkStart w:id="110" w:name="_Toc16951"/>
      <w:bookmarkStart w:id="111" w:name="_Toc181792072"/>
      <w:r>
        <w:rPr>
          <w:rFonts w:hint="eastAsia"/>
        </w:rPr>
        <w:t>消防设施</w:t>
      </w:r>
      <w:bookmarkEnd w:id="108"/>
      <w:bookmarkEnd w:id="109"/>
      <w:bookmarkEnd w:id="110"/>
      <w:bookmarkEnd w:id="111"/>
    </w:p>
    <w:p>
      <w:pPr>
        <w:pStyle w:val="67"/>
        <w:ind w:firstLine="420"/>
      </w:pPr>
      <w:r>
        <w:rPr>
          <w:rFonts w:hint="eastAsia"/>
        </w:rPr>
        <w:t>各功能区按GB 50016、GB 50084、GB 50140的要求，配备消防喷淋装置、室内消火栓、火灾自动报警系统和灭火器等消防设备，并且定期对消防设施进行检查。在明显处并张贴消防安全标识，按GB 13495执行。</w:t>
      </w:r>
    </w:p>
    <w:p>
      <w:pPr>
        <w:pStyle w:val="65"/>
        <w:spacing w:before="156" w:after="156"/>
      </w:pPr>
      <w:bookmarkStart w:id="112" w:name="_Toc10938"/>
      <w:bookmarkStart w:id="113" w:name="_Toc181957602"/>
      <w:bookmarkStart w:id="114" w:name="_Toc181792073"/>
      <w:bookmarkStart w:id="115" w:name="_Toc180488127"/>
      <w:r>
        <w:rPr>
          <w:rFonts w:hint="eastAsia"/>
        </w:rPr>
        <w:t>应急疏散设施</w:t>
      </w:r>
      <w:bookmarkEnd w:id="112"/>
      <w:bookmarkEnd w:id="113"/>
      <w:bookmarkEnd w:id="114"/>
      <w:bookmarkEnd w:id="115"/>
    </w:p>
    <w:p>
      <w:pPr>
        <w:pStyle w:val="67"/>
        <w:ind w:firstLine="420"/>
      </w:pPr>
      <w:r>
        <w:rPr>
          <w:rFonts w:hint="eastAsia"/>
        </w:rPr>
        <w:t>在功能区和进出口处适当配置有线（无线）广播对讲系统、应急灯和安全疏散标识，符合GB/T 34289的要求。</w:t>
      </w:r>
    </w:p>
    <w:p>
      <w:pPr>
        <w:pStyle w:val="66"/>
        <w:spacing w:before="312" w:after="312"/>
      </w:pPr>
      <w:bookmarkStart w:id="116" w:name="_Toc181957603"/>
      <w:bookmarkStart w:id="117" w:name="_Toc181792074"/>
      <w:bookmarkStart w:id="118" w:name="_Toc1613"/>
      <w:bookmarkStart w:id="119" w:name="_Toc180488128"/>
      <w:r>
        <w:rPr>
          <w:rFonts w:hint="eastAsia"/>
        </w:rPr>
        <w:t>功能区设置</w:t>
      </w:r>
      <w:bookmarkEnd w:id="116"/>
      <w:bookmarkEnd w:id="117"/>
      <w:bookmarkEnd w:id="118"/>
      <w:bookmarkEnd w:id="119"/>
    </w:p>
    <w:p>
      <w:pPr>
        <w:pStyle w:val="65"/>
        <w:spacing w:before="156" w:after="156"/>
      </w:pPr>
      <w:bookmarkStart w:id="120" w:name="_Toc181957604"/>
      <w:bookmarkStart w:id="121" w:name="_Toc181792075"/>
      <w:bookmarkStart w:id="122" w:name="_Toc28714"/>
      <w:bookmarkStart w:id="123" w:name="_Toc180488129"/>
      <w:r>
        <w:rPr>
          <w:rFonts w:hint="eastAsia"/>
        </w:rPr>
        <w:t>核心功能区</w:t>
      </w:r>
      <w:bookmarkEnd w:id="120"/>
      <w:bookmarkEnd w:id="121"/>
      <w:bookmarkEnd w:id="122"/>
      <w:bookmarkEnd w:id="123"/>
    </w:p>
    <w:p>
      <w:pPr>
        <w:pStyle w:val="69"/>
        <w:spacing w:before="156" w:after="156"/>
      </w:pPr>
      <w:bookmarkStart w:id="124" w:name="_Toc182005023"/>
      <w:bookmarkStart w:id="125" w:name="_Toc18691"/>
      <w:r>
        <w:rPr>
          <w:rFonts w:hint="eastAsia"/>
        </w:rPr>
        <w:t>体质和健康检测区</w:t>
      </w:r>
      <w:bookmarkEnd w:id="124"/>
      <w:bookmarkEnd w:id="125"/>
    </w:p>
    <w:p>
      <w:pPr>
        <w:pStyle w:val="67"/>
        <w:ind w:firstLine="420"/>
      </w:pPr>
      <w:r>
        <w:rPr>
          <w:rFonts w:hint="eastAsia"/>
        </w:rPr>
        <w:t>提供血压、血糖、体温、血氧、体成分、心电、骨密度、视力、心理等健康检测服务。宜参考《国民体质测定标准》提供测定项目。</w:t>
      </w:r>
    </w:p>
    <w:p>
      <w:pPr>
        <w:pStyle w:val="69"/>
        <w:spacing w:before="156" w:after="156"/>
      </w:pPr>
      <w:bookmarkStart w:id="126" w:name="_Toc182005024"/>
      <w:bookmarkStart w:id="127" w:name="_Toc5785"/>
      <w:r>
        <w:rPr>
          <w:rFonts w:hint="eastAsia"/>
        </w:rPr>
        <w:t>体质和健康评估指导区</w:t>
      </w:r>
      <w:bookmarkEnd w:id="126"/>
      <w:bookmarkEnd w:id="127"/>
    </w:p>
    <w:p>
      <w:pPr>
        <w:pStyle w:val="67"/>
        <w:ind w:firstLine="420"/>
      </w:pPr>
      <w:r>
        <w:rPr>
          <w:rFonts w:hint="eastAsia"/>
        </w:rPr>
        <w:t>提供面诊，以及体质健康、运动风险、慢性病风险分析评估和健康问诊服务，且具有运动干预体适能测试的功能。</w:t>
      </w:r>
    </w:p>
    <w:p>
      <w:pPr>
        <w:pStyle w:val="69"/>
        <w:spacing w:before="156" w:after="156"/>
      </w:pPr>
      <w:bookmarkStart w:id="128" w:name="_Toc182005025"/>
      <w:bookmarkStart w:id="129" w:name="_Toc4902"/>
      <w:r>
        <w:rPr>
          <w:rFonts w:hint="eastAsia"/>
        </w:rPr>
        <w:t>运动健康服务区</w:t>
      </w:r>
      <w:bookmarkEnd w:id="128"/>
      <w:bookmarkEnd w:id="129"/>
    </w:p>
    <w:p>
      <w:pPr>
        <w:pStyle w:val="67"/>
        <w:ind w:firstLine="420"/>
      </w:pPr>
      <w:r>
        <w:rPr>
          <w:rFonts w:hint="eastAsia"/>
        </w:rPr>
        <w:t>用于开具运动处方，提供科普宣教、健身指导、慢性病干预与康复锻炼等服务。可通过微信、手环ID识别用户身份信息。根据健康系统提供科学的运动指导数据和运动方案，对用户锻炼数据进行记录、分析及评价。</w:t>
      </w:r>
    </w:p>
    <w:p>
      <w:pPr>
        <w:pStyle w:val="65"/>
        <w:spacing w:before="156" w:after="156"/>
        <w:rPr>
          <w:color w:val="000000" w:themeColor="text1"/>
          <w14:textFill>
            <w14:solidFill>
              <w14:schemeClr w14:val="tx1"/>
            </w14:solidFill>
          </w14:textFill>
        </w:rPr>
      </w:pPr>
      <w:bookmarkStart w:id="130" w:name="_Toc181792076"/>
      <w:bookmarkStart w:id="131" w:name="_Toc180488130"/>
      <w:bookmarkStart w:id="132" w:name="_Toc181957605"/>
      <w:bookmarkStart w:id="133" w:name="_Toc25725"/>
      <w:r>
        <w:rPr>
          <w:rFonts w:hint="eastAsia"/>
          <w:color w:val="000000" w:themeColor="text1"/>
          <w14:textFill>
            <w14:solidFill>
              <w14:schemeClr w14:val="tx1"/>
            </w14:solidFill>
          </w14:textFill>
        </w:rPr>
        <w:t>拓展功能区</w:t>
      </w:r>
      <w:bookmarkEnd w:id="130"/>
      <w:bookmarkEnd w:id="131"/>
      <w:bookmarkEnd w:id="132"/>
      <w:bookmarkEnd w:id="133"/>
    </w:p>
    <w:p>
      <w:pPr>
        <w:pStyle w:val="69"/>
        <w:spacing w:before="156" w:after="156"/>
      </w:pPr>
      <w:bookmarkStart w:id="134" w:name="_Toc30385"/>
      <w:bookmarkStart w:id="135" w:name="_Toc182005027"/>
      <w:r>
        <w:rPr>
          <w:rFonts w:hint="eastAsia"/>
        </w:rPr>
        <w:t>老年健康服务区</w:t>
      </w:r>
      <w:bookmarkEnd w:id="134"/>
      <w:bookmarkEnd w:id="135"/>
    </w:p>
    <w:p>
      <w:pPr>
        <w:pStyle w:val="67"/>
        <w:ind w:firstLine="420"/>
      </w:pPr>
      <w:r>
        <w:rPr>
          <w:rFonts w:hint="eastAsia"/>
        </w:rPr>
        <w:t>针对老年人，进行体质测试、基础健康监测、慢性病运动干预、运动康复训练、知识讲座、文娱社交等服务。</w:t>
      </w:r>
    </w:p>
    <w:p>
      <w:pPr>
        <w:pStyle w:val="69"/>
        <w:spacing w:before="156" w:after="156"/>
      </w:pPr>
      <w:bookmarkStart w:id="136" w:name="_Toc182005028"/>
      <w:bookmarkStart w:id="137" w:name="_Toc23516"/>
      <w:r>
        <w:rPr>
          <w:rFonts w:hint="eastAsia"/>
        </w:rPr>
        <w:t>慢性病干预区</w:t>
      </w:r>
      <w:bookmarkEnd w:id="136"/>
      <w:bookmarkEnd w:id="137"/>
    </w:p>
    <w:p>
      <w:pPr>
        <w:pStyle w:val="67"/>
        <w:ind w:firstLine="420"/>
      </w:pPr>
      <w:r>
        <w:rPr>
          <w:rFonts w:hint="eastAsia"/>
        </w:rPr>
        <w:t>慢性病干预区主要针对慢性病患者，根据精准运动负荷运动，搭建干预体系平台，与慢性病运动干预专家及周边医院对接，为低风险病人进行院外精准运动干预。</w:t>
      </w:r>
    </w:p>
    <w:p>
      <w:pPr>
        <w:pStyle w:val="69"/>
        <w:spacing w:before="156" w:after="156"/>
      </w:pPr>
      <w:bookmarkStart w:id="138" w:name="_Toc182005029"/>
      <w:bookmarkStart w:id="139" w:name="_Toc3514"/>
      <w:r>
        <w:rPr>
          <w:rFonts w:hint="eastAsia"/>
        </w:rPr>
        <w:t>功能康复区</w:t>
      </w:r>
      <w:bookmarkEnd w:id="138"/>
      <w:bookmarkEnd w:id="139"/>
    </w:p>
    <w:p>
      <w:pPr>
        <w:pStyle w:val="67"/>
        <w:ind w:firstLine="420"/>
      </w:pPr>
      <w:r>
        <w:rPr>
          <w:rFonts w:hint="eastAsia"/>
        </w:rPr>
        <w:t>针对亚健康群体，提供身体矫正、肌骨疼痛消除、功能恢复、机能水平提升等服务，也可开展功能康复培训和小团体功能康复训练。</w:t>
      </w:r>
    </w:p>
    <w:p>
      <w:pPr>
        <w:pStyle w:val="69"/>
        <w:spacing w:before="156" w:after="156"/>
      </w:pPr>
      <w:bookmarkStart w:id="140" w:name="_Toc182005030"/>
      <w:bookmarkStart w:id="141" w:name="_Toc30191"/>
      <w:r>
        <w:rPr>
          <w:rFonts w:hint="eastAsia"/>
        </w:rPr>
        <w:t>家庭互动区</w:t>
      </w:r>
      <w:bookmarkEnd w:id="140"/>
      <w:bookmarkEnd w:id="141"/>
    </w:p>
    <w:p>
      <w:pPr>
        <w:pStyle w:val="67"/>
        <w:ind w:firstLine="420"/>
      </w:pPr>
      <w:r>
        <w:rPr>
          <w:rFonts w:hint="eastAsia"/>
        </w:rPr>
        <w:t>模拟搭建家庭内阳台、卧室、客厅的健身环境，利用互联网技术进行数据交互，提供远程运动健身指导服务。</w:t>
      </w:r>
    </w:p>
    <w:p>
      <w:pPr>
        <w:pStyle w:val="69"/>
        <w:spacing w:before="156" w:after="156"/>
      </w:pPr>
      <w:bookmarkStart w:id="142" w:name="_Toc7695"/>
      <w:bookmarkStart w:id="143" w:name="_Toc182005031"/>
      <w:r>
        <w:rPr>
          <w:rFonts w:hint="eastAsia"/>
        </w:rPr>
        <w:t>综合服务区</w:t>
      </w:r>
      <w:bookmarkEnd w:id="142"/>
      <w:bookmarkEnd w:id="143"/>
    </w:p>
    <w:p>
      <w:pPr>
        <w:pStyle w:val="67"/>
        <w:ind w:firstLine="420"/>
      </w:pPr>
      <w:r>
        <w:rPr>
          <w:rFonts w:hint="eastAsia"/>
        </w:rPr>
        <w:t>综合服务区主要对场地资源进行统筹，通过调整，使场地利用达到最大化；也可作为成年人开展健身操、瑜伽等多种形式课程的场所。</w:t>
      </w:r>
    </w:p>
    <w:p>
      <w:pPr>
        <w:pStyle w:val="65"/>
        <w:spacing w:before="156" w:after="156"/>
      </w:pPr>
      <w:bookmarkStart w:id="144" w:name="_Toc13542"/>
      <w:bookmarkStart w:id="145" w:name="_Toc180488131"/>
      <w:bookmarkStart w:id="146" w:name="_Toc181792077"/>
      <w:bookmarkStart w:id="147" w:name="_Toc181957606"/>
      <w:r>
        <w:rPr>
          <w:rFonts w:hint="eastAsia"/>
        </w:rPr>
        <w:t>辅助功能区</w:t>
      </w:r>
      <w:bookmarkEnd w:id="144"/>
      <w:bookmarkEnd w:id="145"/>
      <w:bookmarkEnd w:id="146"/>
      <w:bookmarkEnd w:id="147"/>
    </w:p>
    <w:p>
      <w:pPr>
        <w:pStyle w:val="67"/>
        <w:ind w:firstLine="420"/>
      </w:pPr>
      <w:r>
        <w:rPr>
          <w:rFonts w:hint="eastAsia"/>
        </w:rPr>
        <w:t>辅助功能区包括但不限于：</w:t>
      </w:r>
    </w:p>
    <w:p>
      <w:pPr>
        <w:pStyle w:val="55"/>
        <w:numPr>
          <w:ilvl w:val="0"/>
          <w:numId w:val="12"/>
        </w:numPr>
        <w:ind w:left="840" w:leftChars="200" w:hanging="420" w:hangingChars="200"/>
      </w:pPr>
      <w:r>
        <w:rPr>
          <w:rFonts w:hint="eastAsia"/>
        </w:rPr>
        <w:t>前台接待区：进行迎宾、日常接待、数据展示、活动宣传、健身体验、业务洽谈的区域；</w:t>
      </w:r>
    </w:p>
    <w:p>
      <w:pPr>
        <w:pStyle w:val="55"/>
        <w:numPr>
          <w:ilvl w:val="0"/>
          <w:numId w:val="12"/>
        </w:numPr>
        <w:ind w:left="840" w:leftChars="200" w:hanging="420" w:hangingChars="200"/>
      </w:pPr>
      <w:r>
        <w:rPr>
          <w:rFonts w:hint="eastAsia"/>
        </w:rPr>
        <w:t>办公区：工作人员进行日常办公、健身数据处理、人力资源管理、财务管理等工作的区域；</w:t>
      </w:r>
    </w:p>
    <w:p>
      <w:pPr>
        <w:pStyle w:val="55"/>
        <w:numPr>
          <w:ilvl w:val="0"/>
          <w:numId w:val="12"/>
        </w:numPr>
        <w:ind w:left="840" w:leftChars="200" w:hanging="420" w:hangingChars="200"/>
      </w:pPr>
      <w:r>
        <w:rPr>
          <w:rFonts w:hint="eastAsia"/>
        </w:rPr>
        <w:t>更衣室：男女分设，提供更衣柜、休息座椅、镜子的区域；</w:t>
      </w:r>
    </w:p>
    <w:p>
      <w:pPr>
        <w:pStyle w:val="55"/>
        <w:numPr>
          <w:ilvl w:val="0"/>
          <w:numId w:val="12"/>
        </w:numPr>
        <w:ind w:left="840" w:leftChars="200" w:hanging="420" w:hangingChars="200"/>
      </w:pPr>
      <w:r>
        <w:rPr>
          <w:rFonts w:hint="eastAsia"/>
        </w:rPr>
        <w:t>卫生间：男女分设，提供无障碍通道以及蹲便、坐便和小便池等方便区域；</w:t>
      </w:r>
    </w:p>
    <w:p>
      <w:pPr>
        <w:pStyle w:val="55"/>
        <w:numPr>
          <w:ilvl w:val="0"/>
          <w:numId w:val="12"/>
        </w:numPr>
        <w:ind w:left="840" w:leftChars="200" w:hanging="420" w:hangingChars="200"/>
      </w:pPr>
      <w:r>
        <w:rPr>
          <w:rFonts w:hint="eastAsia"/>
        </w:rPr>
        <w:t>淋浴室：男女分设，满足沐浴需求；</w:t>
      </w:r>
    </w:p>
    <w:p>
      <w:pPr>
        <w:pStyle w:val="55"/>
        <w:numPr>
          <w:ilvl w:val="0"/>
          <w:numId w:val="12"/>
        </w:numPr>
        <w:ind w:left="840" w:leftChars="200" w:hanging="420" w:hangingChars="200"/>
      </w:pPr>
      <w:r>
        <w:rPr>
          <w:rFonts w:hint="eastAsia"/>
        </w:rPr>
        <w:t>培训室：桌椅布局灵活，可根据不同的培训活动进行调整；具备投屏、线上会议的功能；</w:t>
      </w:r>
    </w:p>
    <w:p>
      <w:pPr>
        <w:pStyle w:val="55"/>
        <w:numPr>
          <w:ilvl w:val="0"/>
          <w:numId w:val="12"/>
        </w:numPr>
        <w:ind w:left="840" w:leftChars="200" w:hanging="420" w:hangingChars="200"/>
      </w:pPr>
      <w:r>
        <w:rPr>
          <w:rFonts w:hint="eastAsia"/>
        </w:rPr>
        <w:t>会议室：桌椅布局便于沟通和互动，通常采用长方形或U形布局。具备投屏、线上会议的功能。</w:t>
      </w:r>
    </w:p>
    <w:p>
      <w:pPr>
        <w:pStyle w:val="66"/>
        <w:spacing w:before="312" w:after="312"/>
      </w:pPr>
      <w:bookmarkStart w:id="148" w:name="_Toc180488132"/>
      <w:bookmarkStart w:id="149" w:name="_Toc181957607"/>
      <w:bookmarkStart w:id="150" w:name="_Toc28268"/>
      <w:bookmarkStart w:id="151" w:name="_Toc181792078"/>
      <w:r>
        <w:rPr>
          <w:rFonts w:hint="eastAsia"/>
        </w:rPr>
        <w:t>软硬件设备以及器材配置</w:t>
      </w:r>
      <w:bookmarkEnd w:id="148"/>
      <w:bookmarkEnd w:id="149"/>
      <w:bookmarkEnd w:id="150"/>
      <w:bookmarkEnd w:id="151"/>
    </w:p>
    <w:p>
      <w:pPr>
        <w:pStyle w:val="65"/>
        <w:spacing w:before="156" w:after="156"/>
      </w:pPr>
      <w:bookmarkStart w:id="152" w:name="_Toc180488133"/>
      <w:bookmarkStart w:id="153" w:name="_Toc181792079"/>
      <w:bookmarkStart w:id="154" w:name="_Toc181957608"/>
      <w:bookmarkStart w:id="155" w:name="_Toc1193"/>
      <w:r>
        <w:rPr>
          <w:rFonts w:hint="eastAsia"/>
        </w:rPr>
        <w:t>配置要求</w:t>
      </w:r>
      <w:bookmarkEnd w:id="152"/>
      <w:bookmarkEnd w:id="153"/>
      <w:bookmarkEnd w:id="154"/>
      <w:bookmarkEnd w:id="155"/>
    </w:p>
    <w:p>
      <w:pPr>
        <w:pStyle w:val="68"/>
      </w:pPr>
      <w:r>
        <w:rPr>
          <w:rFonts w:hint="eastAsia"/>
        </w:rPr>
        <w:t>设备和器材配置均符合TY/T 2001、GB 17498、GB 4706.10、GB/T 28919的要求，血压设备通过国际血压计标准认证，血糖设备取得国家医疗器械注册证，符合</w:t>
      </w:r>
      <w:r>
        <w:t>GB/T 19634</w:t>
      </w:r>
      <w:r>
        <w:rPr>
          <w:rFonts w:hint="eastAsia"/>
        </w:rPr>
        <w:t>的精准度要求。</w:t>
      </w:r>
    </w:p>
    <w:p>
      <w:pPr>
        <w:pStyle w:val="68"/>
      </w:pPr>
      <w:r>
        <w:rPr>
          <w:rFonts w:hint="eastAsia"/>
        </w:rPr>
        <w:t>各运动项目的器材装备符合相应产品国家标准或行业标准要求。</w:t>
      </w:r>
    </w:p>
    <w:p>
      <w:pPr>
        <w:pStyle w:val="65"/>
        <w:spacing w:before="156" w:after="156"/>
      </w:pPr>
      <w:bookmarkStart w:id="156" w:name="_Toc689"/>
      <w:bookmarkStart w:id="157" w:name="_Toc181957609"/>
      <w:bookmarkStart w:id="158" w:name="_Toc181792080"/>
      <w:bookmarkStart w:id="159" w:name="_Toc180488134"/>
      <w:r>
        <w:rPr>
          <w:rFonts w:hint="eastAsia"/>
        </w:rPr>
        <w:t>系统配置</w:t>
      </w:r>
      <w:bookmarkEnd w:id="156"/>
      <w:bookmarkEnd w:id="157"/>
      <w:bookmarkEnd w:id="158"/>
    </w:p>
    <w:p>
      <w:pPr>
        <w:pStyle w:val="68"/>
      </w:pPr>
      <w:r>
        <w:rPr>
          <w:rFonts w:hint="eastAsia"/>
        </w:rPr>
        <w:t>健康信息综合管理系统包含预约测试、体质和健康评估、健康预警、运动处方开具、健康档案管理、数据统计分析、数据查询等功能，支持在智能健身设备上进行运动处方打卡和运动数据采集。</w:t>
      </w:r>
    </w:p>
    <w:p>
      <w:pPr>
        <w:pStyle w:val="68"/>
      </w:pPr>
      <w:r>
        <w:rPr>
          <w:rFonts w:hint="eastAsia"/>
        </w:rPr>
        <w:t>体质和健康评估包含健康筛查、风险问卷评估、心理测试、基本信息测评、人体成分分析、心肺功能测试、肌肉力量测试等功能。</w:t>
      </w:r>
    </w:p>
    <w:p>
      <w:pPr>
        <w:pStyle w:val="68"/>
      </w:pPr>
      <w:r>
        <w:rPr>
          <w:rFonts w:hint="eastAsia"/>
        </w:rPr>
        <w:t>健康预警可将达到预警阈值的数据自动列入健康预警列表。</w:t>
      </w:r>
    </w:p>
    <w:p>
      <w:pPr>
        <w:pStyle w:val="68"/>
      </w:pPr>
      <w:r>
        <w:rPr>
          <w:rFonts w:hint="eastAsia"/>
        </w:rPr>
        <w:t>运动处方包括以下8项内容：运动目的、运动方式、运动强度、运动时间、运动频率、运动总量、运动进度和注意事项。</w:t>
      </w:r>
    </w:p>
    <w:p>
      <w:pPr>
        <w:pStyle w:val="68"/>
      </w:pPr>
      <w:r>
        <w:rPr>
          <w:rFonts w:hint="eastAsia"/>
        </w:rPr>
        <w:t>数据统计分析具备通过图形展示不同区域测评人数、均值进行横向对比等功能。</w:t>
      </w:r>
    </w:p>
    <w:p>
      <w:pPr>
        <w:pStyle w:val="68"/>
      </w:pPr>
      <w:r>
        <w:rPr>
          <w:rFonts w:hint="eastAsia"/>
        </w:rPr>
        <w:t>健康档案管理和数据查询支持个人打印检测报告、评估报告，通过移动客户端查询个人的测试数据和报告。</w:t>
      </w:r>
    </w:p>
    <w:p>
      <w:pPr>
        <w:pStyle w:val="65"/>
        <w:spacing w:before="156" w:after="156"/>
      </w:pPr>
      <w:bookmarkStart w:id="160" w:name="_Toc27344"/>
      <w:bookmarkStart w:id="161" w:name="_Toc181792081"/>
      <w:bookmarkStart w:id="162" w:name="_Toc181957610"/>
      <w:r>
        <w:rPr>
          <w:rFonts w:hint="eastAsia"/>
        </w:rPr>
        <w:t>功能区设备器材配置</w:t>
      </w:r>
      <w:bookmarkEnd w:id="160"/>
      <w:bookmarkEnd w:id="161"/>
      <w:bookmarkEnd w:id="162"/>
    </w:p>
    <w:p>
      <w:pPr>
        <w:pStyle w:val="69"/>
        <w:spacing w:before="156" w:after="156"/>
      </w:pPr>
      <w:bookmarkStart w:id="163" w:name="_Toc24196"/>
      <w:bookmarkStart w:id="164" w:name="_Toc182005037"/>
      <w:r>
        <w:rPr>
          <w:rFonts w:hint="eastAsia"/>
        </w:rPr>
        <w:t>体质和健康检测区</w:t>
      </w:r>
      <w:bookmarkEnd w:id="163"/>
      <w:bookmarkEnd w:id="164"/>
    </w:p>
    <w:p>
      <w:pPr>
        <w:pStyle w:val="86"/>
        <w:numPr>
          <w:ilvl w:val="4"/>
          <w:numId w:val="8"/>
        </w:numPr>
      </w:pPr>
      <w:r>
        <w:rPr>
          <w:rFonts w:hint="eastAsia"/>
        </w:rPr>
        <w:t>配备健康检测设备，包括但不限于：体重、体温、血压、血氧、血糖、肺活量、骨密度、视力检测设备。</w:t>
      </w:r>
    </w:p>
    <w:p>
      <w:pPr>
        <w:pStyle w:val="86"/>
        <w:numPr>
          <w:ilvl w:val="4"/>
          <w:numId w:val="8"/>
        </w:numPr>
      </w:pPr>
      <w:r>
        <w:rPr>
          <w:rFonts w:hint="eastAsia"/>
        </w:rPr>
        <w:t>配备体质和体适能检测设备，具体如下：</w:t>
      </w:r>
    </w:p>
    <w:p>
      <w:pPr>
        <w:pStyle w:val="84"/>
        <w:numPr>
          <w:ilvl w:val="0"/>
          <w:numId w:val="4"/>
        </w:numPr>
        <w:ind w:left="851" w:hanging="426"/>
      </w:pPr>
      <w:r>
        <w:rPr>
          <w:rFonts w:hint="eastAsia"/>
        </w:rPr>
        <w:t>配置成年人、青少年和老年人国民体质检测设备，可检测身体形态、身体机能、身体素质等，具备力量评估、心肺功能评估等功能。所测量数据支持与省体育局相关信息管理平台共享；</w:t>
      </w:r>
    </w:p>
    <w:p>
      <w:pPr>
        <w:pStyle w:val="84"/>
        <w:numPr>
          <w:ilvl w:val="0"/>
          <w:numId w:val="4"/>
        </w:numPr>
        <w:ind w:left="851" w:hanging="426"/>
      </w:pPr>
      <w:r>
        <w:rPr>
          <w:rFonts w:hint="eastAsia"/>
        </w:rPr>
        <w:t>配备体质检测设备，包括肺活量、握力、坐位体前屈俯卧撑、一分钟仰卧起坐、闭眼单脚站立、纵跳、选择反应时、身高、体重、人体成份分析测试器材和腰臀比设备；</w:t>
      </w:r>
    </w:p>
    <w:p>
      <w:pPr>
        <w:pStyle w:val="84"/>
        <w:numPr>
          <w:ilvl w:val="0"/>
          <w:numId w:val="4"/>
        </w:numPr>
        <w:ind w:left="851" w:hanging="426"/>
      </w:pPr>
      <w:r>
        <w:rPr>
          <w:rFonts w:hint="eastAsia"/>
        </w:rPr>
        <w:t>可通过刷身份证、社保卡、人脸识别、二维码扫描、指纹识别等方式获取个人信息，支持多人同时检测，检测过程中真人语音和真人视频全程同步指引，具备实时预警、纠正不正确测试方式并再次测试的功能，实时显示测量结果，支持测量数据实时上传信息管理系统。</w:t>
      </w:r>
    </w:p>
    <w:p>
      <w:pPr>
        <w:pStyle w:val="69"/>
        <w:spacing w:before="156" w:after="156"/>
      </w:pPr>
      <w:bookmarkStart w:id="165" w:name="_Toc182005038"/>
      <w:bookmarkStart w:id="166" w:name="_Toc18211"/>
      <w:r>
        <w:rPr>
          <w:rFonts w:hint="eastAsia"/>
        </w:rPr>
        <w:t>体质和健康评估指导区</w:t>
      </w:r>
      <w:bookmarkEnd w:id="165"/>
      <w:bookmarkEnd w:id="166"/>
    </w:p>
    <w:p>
      <w:pPr>
        <w:pStyle w:val="67"/>
        <w:ind w:firstLine="420"/>
      </w:pPr>
      <w:r>
        <w:rPr>
          <w:rFonts w:hint="eastAsia"/>
        </w:rPr>
        <w:t>配备智能显示屏、健康风险评估系统；根据实际使用面积和拟接待人数配备相应的桌椅、可移动黑板等；宜配置抑郁、焦虑、睡眠评估设备，人体体成分检测仪，骨密度仪，B超仪，心电图仪等。</w:t>
      </w:r>
    </w:p>
    <w:p>
      <w:pPr>
        <w:pStyle w:val="69"/>
        <w:spacing w:before="156" w:after="156"/>
      </w:pPr>
      <w:bookmarkStart w:id="167" w:name="_Toc10816"/>
      <w:bookmarkStart w:id="168" w:name="_Toc182005039"/>
      <w:r>
        <w:rPr>
          <w:rFonts w:hint="eastAsia"/>
        </w:rPr>
        <w:t>运动健康服务区</w:t>
      </w:r>
      <w:bookmarkEnd w:id="167"/>
      <w:bookmarkEnd w:id="168"/>
    </w:p>
    <w:p>
      <w:pPr>
        <w:pStyle w:val="86"/>
        <w:numPr>
          <w:ilvl w:val="4"/>
          <w:numId w:val="8"/>
        </w:numPr>
      </w:pPr>
      <w:r>
        <w:rPr>
          <w:rFonts w:hint="eastAsia"/>
        </w:rPr>
        <w:t>根据实际使用面积和拟接待人数，配备椭圆仪、史密斯机、划船机、哑铃、杠铃等。</w:t>
      </w:r>
    </w:p>
    <w:p>
      <w:pPr>
        <w:pStyle w:val="86"/>
        <w:numPr>
          <w:ilvl w:val="4"/>
          <w:numId w:val="8"/>
        </w:numPr>
      </w:pPr>
      <w:r>
        <w:rPr>
          <w:rFonts w:hint="eastAsia"/>
        </w:rPr>
        <w:t>运动训练可配置跑步机、功率自行车以及力量、平衡、柔韧、灵敏、协调等功能训练器械。能够提供运动心电监测、呼吸监测等服务，能够设定运动负荷、规避运动风险。</w:t>
      </w:r>
    </w:p>
    <w:p>
      <w:pPr>
        <w:pStyle w:val="69"/>
        <w:spacing w:before="156" w:after="156"/>
      </w:pPr>
      <w:bookmarkStart w:id="169" w:name="_Toc182005040"/>
      <w:bookmarkStart w:id="170" w:name="_Toc12648"/>
      <w:r>
        <w:rPr>
          <w:rFonts w:hint="eastAsia"/>
        </w:rPr>
        <w:t>老年健康服务区</w:t>
      </w:r>
      <w:bookmarkEnd w:id="169"/>
      <w:bookmarkEnd w:id="170"/>
    </w:p>
    <w:p>
      <w:pPr>
        <w:pStyle w:val="67"/>
        <w:ind w:firstLine="420"/>
      </w:pPr>
      <w:r>
        <w:rPr>
          <w:rFonts w:hint="eastAsia"/>
        </w:rPr>
        <w:t>配备适合老年人的健身设备，包括拉力器、健身球等。</w:t>
      </w:r>
    </w:p>
    <w:p>
      <w:pPr>
        <w:pStyle w:val="69"/>
        <w:spacing w:before="156" w:after="156"/>
      </w:pPr>
      <w:bookmarkStart w:id="171" w:name="_Toc182005041"/>
      <w:bookmarkStart w:id="172" w:name="_Toc13348"/>
      <w:r>
        <w:rPr>
          <w:rFonts w:hint="eastAsia"/>
        </w:rPr>
        <w:t>慢性病干预区</w:t>
      </w:r>
      <w:bookmarkEnd w:id="171"/>
      <w:bookmarkEnd w:id="172"/>
    </w:p>
    <w:p>
      <w:pPr>
        <w:pStyle w:val="67"/>
        <w:ind w:firstLine="420"/>
      </w:pPr>
      <w:r>
        <w:rPr>
          <w:rFonts w:hint="eastAsia"/>
        </w:rPr>
        <w:t>配备适当运动康复训练器材设备，包括功率自行车、健身走步机等。</w:t>
      </w:r>
    </w:p>
    <w:p>
      <w:pPr>
        <w:pStyle w:val="69"/>
        <w:spacing w:before="156" w:after="156"/>
      </w:pPr>
      <w:bookmarkStart w:id="173" w:name="_Toc182005042"/>
      <w:bookmarkStart w:id="174" w:name="_Toc9797"/>
      <w:r>
        <w:rPr>
          <w:rFonts w:hint="eastAsia"/>
        </w:rPr>
        <w:t>功能康复区</w:t>
      </w:r>
      <w:bookmarkEnd w:id="173"/>
      <w:bookmarkEnd w:id="174"/>
    </w:p>
    <w:p>
      <w:pPr>
        <w:pStyle w:val="67"/>
        <w:ind w:firstLine="420"/>
      </w:pPr>
      <w:r>
        <w:rPr>
          <w:rFonts w:hint="eastAsia"/>
        </w:rPr>
        <w:t>配备功能康复器材，包括超声波治疗仪、低频电治疗仪、干扰电治疗仪、超短波治疗仪、空气波压力治疗仪，红外线治疗仪等。</w:t>
      </w:r>
    </w:p>
    <w:p>
      <w:pPr>
        <w:pStyle w:val="69"/>
        <w:spacing w:before="156" w:after="156"/>
      </w:pPr>
      <w:bookmarkStart w:id="175" w:name="_Toc22549"/>
      <w:bookmarkStart w:id="176" w:name="_Toc182005043"/>
      <w:r>
        <w:rPr>
          <w:rFonts w:hint="eastAsia"/>
        </w:rPr>
        <w:t>家庭互动区</w:t>
      </w:r>
      <w:bookmarkEnd w:id="175"/>
      <w:bookmarkEnd w:id="176"/>
    </w:p>
    <w:p>
      <w:pPr>
        <w:pStyle w:val="67"/>
        <w:ind w:firstLine="420"/>
      </w:pPr>
      <w:r>
        <w:rPr>
          <w:rFonts w:hint="eastAsia"/>
        </w:rPr>
        <w:t>配备智能显示屏，搭载远程互联技术。配置跑步机，哑铃架，瑜伽垫等运动设备及用品。</w:t>
      </w:r>
    </w:p>
    <w:p>
      <w:pPr>
        <w:pStyle w:val="69"/>
        <w:spacing w:before="156" w:after="156"/>
      </w:pPr>
      <w:bookmarkStart w:id="177" w:name="_Toc1146"/>
      <w:bookmarkStart w:id="178" w:name="_Toc182005044"/>
      <w:r>
        <w:rPr>
          <w:rFonts w:hint="eastAsia"/>
        </w:rPr>
        <w:t>综合服务区</w:t>
      </w:r>
      <w:bookmarkEnd w:id="177"/>
      <w:bookmarkEnd w:id="178"/>
    </w:p>
    <w:p>
      <w:pPr>
        <w:pStyle w:val="67"/>
        <w:ind w:firstLine="420"/>
      </w:pPr>
      <w:r>
        <w:rPr>
          <w:rFonts w:hint="eastAsia"/>
        </w:rPr>
        <w:t>配备饮水设备、休息座椅以及便民物品等；可根据需要延展为其他功能区。</w:t>
      </w:r>
    </w:p>
    <w:p>
      <w:pPr>
        <w:pStyle w:val="69"/>
        <w:spacing w:before="156" w:after="156"/>
      </w:pPr>
      <w:bookmarkStart w:id="179" w:name="_Toc182005045"/>
      <w:bookmarkStart w:id="180" w:name="_Toc27261"/>
      <w:r>
        <w:rPr>
          <w:rFonts w:hint="eastAsia"/>
        </w:rPr>
        <w:t>前台接待区</w:t>
      </w:r>
      <w:bookmarkEnd w:id="179"/>
      <w:bookmarkEnd w:id="180"/>
    </w:p>
    <w:p>
      <w:pPr>
        <w:pStyle w:val="67"/>
        <w:ind w:firstLine="420"/>
      </w:pPr>
      <w:r>
        <w:rPr>
          <w:rFonts w:hint="eastAsia"/>
        </w:rPr>
        <w:t>根据实际使用面积和拟接待人数配备相应的休息桌椅，可配备电视、智能显示屏、展板、报刊、饮用水等物品。</w:t>
      </w:r>
    </w:p>
    <w:p>
      <w:pPr>
        <w:pStyle w:val="69"/>
        <w:spacing w:before="156" w:after="156"/>
      </w:pPr>
      <w:bookmarkStart w:id="181" w:name="_Toc9421"/>
      <w:bookmarkStart w:id="182" w:name="_Toc182005046"/>
      <w:r>
        <w:rPr>
          <w:rFonts w:hint="eastAsia"/>
        </w:rPr>
        <w:t>办公区</w:t>
      </w:r>
      <w:bookmarkEnd w:id="181"/>
      <w:bookmarkEnd w:id="182"/>
    </w:p>
    <w:p>
      <w:pPr>
        <w:pStyle w:val="67"/>
        <w:ind w:firstLine="420"/>
      </w:pPr>
      <w:r>
        <w:rPr>
          <w:rFonts w:hint="eastAsia"/>
        </w:rPr>
        <w:t>可根据运营需求配备适当数量桌椅、电脑、打印机和其他办公用品。</w:t>
      </w:r>
    </w:p>
    <w:p>
      <w:pPr>
        <w:pStyle w:val="69"/>
        <w:spacing w:before="156" w:after="156"/>
      </w:pPr>
      <w:bookmarkStart w:id="183" w:name="_Toc182005047"/>
      <w:bookmarkStart w:id="184" w:name="_Toc26374"/>
      <w:r>
        <w:rPr>
          <w:rFonts w:hint="eastAsia"/>
        </w:rPr>
        <w:t>更衣室</w:t>
      </w:r>
      <w:bookmarkEnd w:id="183"/>
      <w:bookmarkEnd w:id="184"/>
    </w:p>
    <w:p>
      <w:pPr>
        <w:pStyle w:val="67"/>
        <w:ind w:firstLine="420"/>
      </w:pPr>
      <w:r>
        <w:rPr>
          <w:rFonts w:hint="eastAsia"/>
        </w:rPr>
        <w:t>配备适当数量更衣柜，并有休息座椅、镜子，通风良好，地面防滑。</w:t>
      </w:r>
    </w:p>
    <w:p>
      <w:pPr>
        <w:pStyle w:val="69"/>
        <w:spacing w:before="156" w:after="156"/>
      </w:pPr>
      <w:bookmarkStart w:id="185" w:name="_Toc27215"/>
      <w:bookmarkStart w:id="186" w:name="_Toc182005048"/>
      <w:r>
        <w:rPr>
          <w:rFonts w:hint="eastAsia"/>
        </w:rPr>
        <w:t>卫生间</w:t>
      </w:r>
      <w:bookmarkEnd w:id="185"/>
      <w:bookmarkEnd w:id="186"/>
    </w:p>
    <w:p>
      <w:pPr>
        <w:pStyle w:val="67"/>
        <w:ind w:firstLine="420"/>
      </w:pPr>
      <w:r>
        <w:rPr>
          <w:rFonts w:hint="eastAsia"/>
        </w:rPr>
        <w:t>蹲便、坐便和小便池可根据使用面积和拟接待人数适当配备，便池之间相互隔挡，下水通畅，设有洗手池、镜面、垃圾篮、消毒及净手设施，地面防滑，干净无异味，通风良好。</w:t>
      </w:r>
    </w:p>
    <w:p>
      <w:pPr>
        <w:pStyle w:val="69"/>
        <w:spacing w:before="156" w:after="156"/>
      </w:pPr>
      <w:bookmarkStart w:id="187" w:name="_Toc182005049"/>
      <w:bookmarkStart w:id="188" w:name="_Toc27202"/>
      <w:r>
        <w:rPr>
          <w:rFonts w:hint="eastAsia"/>
        </w:rPr>
        <w:t>淋浴室</w:t>
      </w:r>
      <w:bookmarkEnd w:id="187"/>
      <w:bookmarkEnd w:id="188"/>
    </w:p>
    <w:p>
      <w:pPr>
        <w:pStyle w:val="67"/>
        <w:ind w:firstLine="420"/>
      </w:pPr>
      <w:r>
        <w:rPr>
          <w:rFonts w:hint="eastAsia"/>
        </w:rPr>
        <w:t>淋浴水龙头数量宜根据使用面积和拟接待人数适当配备，龙头之间互相隔挡，设有洗手池、镜面、下水口，地面为防滑材料，营业时间持续热水供应。</w:t>
      </w:r>
    </w:p>
    <w:p>
      <w:pPr>
        <w:pStyle w:val="69"/>
        <w:spacing w:before="156" w:after="156"/>
      </w:pPr>
      <w:bookmarkStart w:id="189" w:name="_Toc22000"/>
      <w:bookmarkStart w:id="190" w:name="_Toc182005050"/>
      <w:r>
        <w:rPr>
          <w:rFonts w:hint="eastAsia"/>
        </w:rPr>
        <w:t>培训室</w:t>
      </w:r>
      <w:bookmarkEnd w:id="189"/>
      <w:bookmarkEnd w:id="190"/>
    </w:p>
    <w:p>
      <w:pPr>
        <w:pStyle w:val="67"/>
        <w:ind w:firstLine="420"/>
      </w:pPr>
      <w:r>
        <w:rPr>
          <w:rFonts w:hint="eastAsia"/>
        </w:rPr>
        <w:t>配备桌椅；考虑使用可移动的隔板或屏风，以便在需要时分隔空间；配备投影仪、幕布或白板、网络连接设备、电源插座和扩音设备。</w:t>
      </w:r>
    </w:p>
    <w:p>
      <w:pPr>
        <w:pStyle w:val="69"/>
        <w:spacing w:before="156" w:after="156"/>
      </w:pPr>
      <w:bookmarkStart w:id="191" w:name="_Toc30080"/>
      <w:bookmarkStart w:id="192" w:name="_Toc182005051"/>
      <w:r>
        <w:rPr>
          <w:rFonts w:hint="eastAsia"/>
        </w:rPr>
        <w:t>会议室</w:t>
      </w:r>
      <w:bookmarkEnd w:id="191"/>
      <w:bookmarkEnd w:id="192"/>
    </w:p>
    <w:p>
      <w:pPr>
        <w:pStyle w:val="67"/>
        <w:ind w:firstLine="420"/>
      </w:pPr>
      <w:r>
        <w:rPr>
          <w:rFonts w:hint="eastAsia"/>
        </w:rPr>
        <w:t>配备桌椅、投影仪、电话会议系统、无线网络设备等。</w:t>
      </w:r>
    </w:p>
    <w:bookmarkEnd w:id="159"/>
    <w:p>
      <w:pPr>
        <w:pStyle w:val="65"/>
        <w:spacing w:before="156" w:after="156"/>
      </w:pPr>
      <w:bookmarkStart w:id="193" w:name="_Toc16244"/>
      <w:bookmarkStart w:id="194" w:name="_Toc181792082"/>
      <w:bookmarkStart w:id="195" w:name="_Toc181957611"/>
      <w:bookmarkStart w:id="196" w:name="_Toc180488137"/>
      <w:r>
        <w:rPr>
          <w:rFonts w:hint="eastAsia"/>
        </w:rPr>
        <w:t>其他设备配置</w:t>
      </w:r>
      <w:bookmarkEnd w:id="193"/>
      <w:bookmarkEnd w:id="194"/>
      <w:bookmarkEnd w:id="195"/>
    </w:p>
    <w:bookmarkEnd w:id="196"/>
    <w:p>
      <w:pPr>
        <w:pStyle w:val="69"/>
        <w:spacing w:before="156" w:after="156"/>
      </w:pPr>
      <w:bookmarkStart w:id="197" w:name="_Toc182005053"/>
      <w:bookmarkStart w:id="198" w:name="_Toc180488138"/>
      <w:bookmarkStart w:id="199" w:name="_Toc13917"/>
      <w:r>
        <w:rPr>
          <w:rFonts w:hint="eastAsia"/>
        </w:rPr>
        <w:t>医用治疗类及急救设备</w:t>
      </w:r>
      <w:bookmarkEnd w:id="197"/>
      <w:bookmarkEnd w:id="198"/>
      <w:bookmarkEnd w:id="199"/>
    </w:p>
    <w:p>
      <w:pPr>
        <w:pStyle w:val="67"/>
        <w:ind w:firstLine="420"/>
      </w:pPr>
      <w:r>
        <w:rPr>
          <w:rFonts w:hint="eastAsia"/>
        </w:rPr>
        <w:t>配备中医治疗、物理治疗等仪器，具有运动损伤急慢性阶段的处理与恢复治疗、慢性病引起的功能障碍的恢复治疗等功能。配置急救药品、心肺复苏设备及自动体外除颤器（AED）。</w:t>
      </w:r>
    </w:p>
    <w:p>
      <w:pPr>
        <w:pStyle w:val="69"/>
        <w:spacing w:before="156" w:after="156"/>
      </w:pPr>
      <w:bookmarkStart w:id="200" w:name="_Toc180488139"/>
      <w:bookmarkStart w:id="201" w:name="_Toc182005054"/>
      <w:bookmarkStart w:id="202" w:name="_Toc10052"/>
      <w:r>
        <w:rPr>
          <w:rFonts w:hint="eastAsia"/>
        </w:rPr>
        <w:t>智能化健康教育设备</w:t>
      </w:r>
      <w:bookmarkEnd w:id="200"/>
      <w:bookmarkEnd w:id="201"/>
      <w:bookmarkEnd w:id="202"/>
    </w:p>
    <w:p>
      <w:pPr>
        <w:pStyle w:val="67"/>
        <w:ind w:firstLine="420"/>
      </w:pPr>
      <w:r>
        <w:rPr>
          <w:rFonts w:hint="eastAsia"/>
        </w:rPr>
        <w:t>至少配备一套具有网络健身康复、运动健身训练等功能的智能健身康复与运动宣教设备。</w:t>
      </w:r>
    </w:p>
    <w:p>
      <w:pPr>
        <w:pStyle w:val="66"/>
        <w:spacing w:before="312" w:after="312"/>
      </w:pPr>
      <w:bookmarkStart w:id="203" w:name="_Toc6103"/>
      <w:bookmarkStart w:id="204" w:name="_Toc181957612"/>
      <w:bookmarkStart w:id="205" w:name="_Toc180488145"/>
      <w:bookmarkStart w:id="206" w:name="_Toc181792083"/>
      <w:r>
        <w:rPr>
          <w:rFonts w:hint="eastAsia"/>
        </w:rPr>
        <w:t>标志标识</w:t>
      </w:r>
      <w:bookmarkEnd w:id="203"/>
      <w:bookmarkEnd w:id="204"/>
      <w:bookmarkEnd w:id="205"/>
      <w:bookmarkEnd w:id="206"/>
    </w:p>
    <w:p>
      <w:pPr>
        <w:pStyle w:val="64"/>
      </w:pPr>
      <w:r>
        <w:rPr>
          <w:rFonts w:hint="eastAsia"/>
        </w:rPr>
        <w:t>统一视觉识别形象，外观形象标识明显，悬挂“运动促进健康中心”牌匾，宜设置导向牌等。</w:t>
      </w:r>
    </w:p>
    <w:p>
      <w:pPr>
        <w:pStyle w:val="64"/>
      </w:pPr>
      <w:r>
        <w:rPr>
          <w:rFonts w:hint="eastAsia"/>
        </w:rPr>
        <w:t>在中心醒目位置设置服务项目、服务内容、服务时间等标识牌。</w:t>
      </w:r>
    </w:p>
    <w:p>
      <w:pPr>
        <w:pStyle w:val="64"/>
      </w:pPr>
      <w:r>
        <w:rPr>
          <w:rFonts w:hint="eastAsia"/>
        </w:rPr>
        <w:t>根据设置的功能区，在适当位置设置区域平面图。</w:t>
      </w:r>
    </w:p>
    <w:p>
      <w:pPr>
        <w:pStyle w:val="64"/>
      </w:pPr>
      <w:r>
        <w:rPr>
          <w:rFonts w:hint="eastAsia"/>
        </w:rPr>
        <w:t>中心内部引导系统标识符合下列要求：</w:t>
      </w:r>
    </w:p>
    <w:p>
      <w:pPr>
        <w:pStyle w:val="55"/>
        <w:numPr>
          <w:ilvl w:val="0"/>
          <w:numId w:val="13"/>
        </w:numPr>
        <w:ind w:left="840" w:leftChars="200" w:hanging="420" w:hangingChars="200"/>
      </w:pPr>
      <w:r>
        <w:rPr>
          <w:rFonts w:hint="eastAsia"/>
        </w:rPr>
        <w:t>引导系统具备准确性、简洁性、连续性、易识性、一致性、兼容性等特征；</w:t>
      </w:r>
    </w:p>
    <w:p>
      <w:pPr>
        <w:pStyle w:val="55"/>
        <w:numPr>
          <w:ilvl w:val="0"/>
          <w:numId w:val="13"/>
        </w:numPr>
        <w:ind w:left="840" w:leftChars="200" w:hanging="420" w:hangingChars="200"/>
      </w:pPr>
      <w:r>
        <w:rPr>
          <w:rFonts w:hint="eastAsia"/>
        </w:rPr>
        <w:t>导向要素准确完整、简单明了、醒目清晰，符合人们已有概念与习惯；</w:t>
      </w:r>
    </w:p>
    <w:p>
      <w:pPr>
        <w:pStyle w:val="55"/>
        <w:numPr>
          <w:ilvl w:val="0"/>
          <w:numId w:val="13"/>
        </w:numPr>
        <w:ind w:left="840" w:leftChars="200" w:hanging="420" w:hangingChars="200"/>
      </w:pPr>
      <w:r>
        <w:rPr>
          <w:rFonts w:hint="eastAsia"/>
        </w:rPr>
        <w:t>在每个交叉口或容易迷失的位置连续做出标识。</w:t>
      </w:r>
    </w:p>
    <w:p>
      <w:pPr>
        <w:pStyle w:val="66"/>
        <w:spacing w:before="312" w:after="312"/>
      </w:pPr>
      <w:bookmarkStart w:id="207" w:name="_Toc181957613"/>
      <w:bookmarkStart w:id="208" w:name="_Toc28604"/>
      <w:bookmarkStart w:id="209" w:name="_Toc181792084"/>
      <w:bookmarkStart w:id="210" w:name="_Toc180488146"/>
      <w:r>
        <w:rPr>
          <w:rFonts w:hint="eastAsia"/>
        </w:rPr>
        <w:t>监督评价与改进</w:t>
      </w:r>
      <w:bookmarkEnd w:id="207"/>
      <w:bookmarkEnd w:id="208"/>
      <w:bookmarkEnd w:id="209"/>
      <w:bookmarkEnd w:id="210"/>
    </w:p>
    <w:p>
      <w:pPr>
        <w:pStyle w:val="64"/>
      </w:pPr>
      <w:r>
        <w:rPr>
          <w:rFonts w:hint="eastAsia"/>
        </w:rPr>
        <w:t>宜设立意见信箱，收集群众对环境设施、服务功能区、运动设施设备等方面的意见建议，记录并持续改进。</w:t>
      </w:r>
    </w:p>
    <w:p>
      <w:pPr>
        <w:pStyle w:val="64"/>
      </w:pPr>
      <w:r>
        <w:rPr>
          <w:rFonts w:hint="eastAsia"/>
        </w:rPr>
        <w:t>可运用社会监督、评价监督、察访监督等方式，对运动促进健康中心建设实施动态监督管理。</w:t>
      </w:r>
    </w:p>
    <w:p>
      <w:pPr>
        <w:pStyle w:val="51"/>
      </w:pPr>
    </w:p>
    <w:p>
      <w:pPr>
        <w:pStyle w:val="51"/>
      </w:pPr>
    </w:p>
    <w:p>
      <w:pPr>
        <w:pStyle w:val="51"/>
        <w:sectPr>
          <w:headerReference r:id="rId16" w:type="default"/>
          <w:footerReference r:id="rId18" w:type="default"/>
          <w:headerReference r:id="rId17" w:type="even"/>
          <w:footerReference r:id="rId19" w:type="even"/>
          <w:pgSz w:w="11906" w:h="16838"/>
          <w:pgMar w:top="1417" w:right="1134" w:bottom="1134" w:left="1418" w:header="1417" w:footer="1134" w:gutter="0"/>
          <w:pgNumType w:start="1"/>
          <w:cols w:space="425" w:num="1"/>
          <w:docGrid w:type="lines" w:linePitch="312" w:charSpace="0"/>
        </w:sectPr>
      </w:pPr>
    </w:p>
    <w:p>
      <w:pPr>
        <w:pStyle w:val="6"/>
        <w:adjustRightInd w:val="0"/>
        <w:snapToGrid w:val="0"/>
        <w:spacing w:before="567"/>
        <w:ind w:firstLine="0"/>
        <w:jc w:val="center"/>
        <w:outlineLvl w:val="0"/>
        <w:rPr>
          <w:rFonts w:ascii="黑体" w:hAnsi="黑体" w:eastAsia="黑体" w:cs="黑体"/>
          <w:szCs w:val="21"/>
        </w:rPr>
      </w:pPr>
      <w:bookmarkStart w:id="211" w:name="_Toc27120"/>
      <w:bookmarkStart w:id="212" w:name="_Toc20706"/>
      <w:bookmarkStart w:id="221" w:name="_GoBack"/>
      <w:bookmarkEnd w:id="221"/>
      <w:r>
        <w:rPr>
          <w:rFonts w:hint="eastAsia" w:ascii="黑体" w:hAnsi="黑体" w:eastAsia="黑体" w:cs="黑体"/>
          <w:szCs w:val="21"/>
        </w:rPr>
        <w:t>附  录  A</w:t>
      </w:r>
      <w:bookmarkEnd w:id="211"/>
      <w:bookmarkEnd w:id="212"/>
    </w:p>
    <w:p>
      <w:pPr>
        <w:pStyle w:val="7"/>
        <w:jc w:val="center"/>
        <w:outlineLvl w:val="0"/>
        <w:rPr>
          <w:rFonts w:ascii="黑体" w:hAnsi="黑体" w:eastAsia="黑体" w:cs="黑体"/>
          <w:sz w:val="21"/>
          <w:szCs w:val="21"/>
        </w:rPr>
      </w:pPr>
      <w:bookmarkStart w:id="213" w:name="_Toc182005058"/>
      <w:bookmarkStart w:id="214" w:name="_Toc23324"/>
      <w:bookmarkStart w:id="215" w:name="_Toc477"/>
      <w:bookmarkStart w:id="216" w:name="_Toc21414"/>
      <w:r>
        <w:rPr>
          <w:rFonts w:hint="eastAsia" w:ascii="黑体" w:hAnsi="黑体" w:eastAsia="黑体" w:cs="黑体"/>
          <w:sz w:val="21"/>
          <w:szCs w:val="21"/>
        </w:rPr>
        <w:t>（资料性）</w:t>
      </w:r>
      <w:bookmarkEnd w:id="213"/>
      <w:bookmarkEnd w:id="214"/>
      <w:bookmarkEnd w:id="215"/>
      <w:bookmarkEnd w:id="216"/>
    </w:p>
    <w:p>
      <w:pPr>
        <w:pStyle w:val="7"/>
        <w:adjustRightInd w:val="0"/>
        <w:spacing w:after="283"/>
        <w:jc w:val="center"/>
        <w:outlineLvl w:val="0"/>
        <w:rPr>
          <w:rFonts w:ascii="黑体" w:hAnsi="黑体" w:eastAsia="黑体"/>
          <w:color w:val="000000"/>
          <w:sz w:val="21"/>
          <w:szCs w:val="21"/>
        </w:rPr>
      </w:pPr>
      <w:bookmarkStart w:id="217" w:name="_Toc13971"/>
      <w:bookmarkStart w:id="218" w:name="_Toc182005059"/>
      <w:bookmarkStart w:id="219" w:name="_Toc1241"/>
      <w:r>
        <w:rPr>
          <w:rFonts w:hint="eastAsia" w:ascii="黑体" w:hAnsi="黑体" w:eastAsia="黑体"/>
          <w:color w:val="000000"/>
          <w:sz w:val="21"/>
          <w:szCs w:val="21"/>
        </w:rPr>
        <w:t>运动促进健康中心分级建设内容</w:t>
      </w:r>
      <w:bookmarkEnd w:id="217"/>
      <w:bookmarkEnd w:id="218"/>
      <w:bookmarkEnd w:id="219"/>
    </w:p>
    <w:p>
      <w:pPr>
        <w:pStyle w:val="11"/>
        <w:adjustRightInd w:val="0"/>
        <w:snapToGrid w:val="0"/>
        <w:spacing w:line="240" w:lineRule="auto"/>
      </w:pPr>
      <w:r>
        <w:rPr>
          <w:rFonts w:hint="eastAsia"/>
        </w:rPr>
        <w:t>运动促进健康中心分级建设内容见表A.1。</w:t>
      </w:r>
    </w:p>
    <w:p>
      <w:pPr>
        <w:pStyle w:val="60"/>
        <w:numPr>
          <w:ilvl w:val="0"/>
          <w:numId w:val="0"/>
        </w:numPr>
      </w:pPr>
      <w:r>
        <w:rPr>
          <w:rFonts w:hint="eastAsia"/>
        </w:rPr>
        <w:t>表</w:t>
      </w:r>
      <w:r>
        <w:t>A</w:t>
      </w:r>
      <w:r>
        <w:rPr>
          <w:rFonts w:hint="eastAsia"/>
        </w:rPr>
        <w:t>.1  运动促进健康中心分级建设内容</w:t>
      </w:r>
    </w:p>
    <w:tbl>
      <w:tblPr>
        <w:tblStyle w:val="21"/>
        <w:tblW w:w="14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986"/>
        <w:gridCol w:w="7938"/>
        <w:gridCol w:w="1275"/>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5" w:type="dxa"/>
            <w:gridSpan w:val="2"/>
            <w:tcBorders>
              <w:top w:val="single" w:color="000000" w:sz="12" w:space="0"/>
              <w:left w:val="single" w:color="000000" w:sz="12" w:space="0"/>
              <w:bottom w:val="single" w:color="auto" w:sz="12" w:space="0"/>
              <w:right w:val="single" w:color="000000" w:sz="4" w:space="0"/>
              <w:tl2br w:val="nil"/>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项目</w:t>
            </w:r>
          </w:p>
        </w:tc>
        <w:tc>
          <w:tcPr>
            <w:tcW w:w="7938" w:type="dxa"/>
            <w:tcBorders>
              <w:top w:val="single" w:color="000000" w:sz="12" w:space="0"/>
              <w:left w:val="single" w:color="000000" w:sz="4" w:space="0"/>
              <w:bottom w:val="single" w:color="auto"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建设内容</w:t>
            </w:r>
          </w:p>
        </w:tc>
        <w:tc>
          <w:tcPr>
            <w:tcW w:w="1275" w:type="dxa"/>
            <w:tcBorders>
              <w:top w:val="single" w:color="000000" w:sz="12" w:space="0"/>
              <w:left w:val="single" w:color="000000" w:sz="4" w:space="0"/>
              <w:bottom w:val="single" w:color="auto" w:sz="12"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必备条件</w:t>
            </w:r>
          </w:p>
        </w:tc>
        <w:tc>
          <w:tcPr>
            <w:tcW w:w="1113" w:type="dxa"/>
            <w:tcBorders>
              <w:top w:val="single" w:color="000000" w:sz="12" w:space="0"/>
              <w:left w:val="single" w:color="auto" w:sz="4" w:space="0"/>
              <w:bottom w:val="single" w:color="auto" w:sz="12"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打分栏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restart"/>
            <w:tcBorders>
              <w:top w:val="single" w:color="auto" w:sz="12" w:space="0"/>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1设施配置</w:t>
            </w:r>
          </w:p>
        </w:tc>
        <w:tc>
          <w:tcPr>
            <w:tcW w:w="2986" w:type="dxa"/>
            <w:vMerge w:val="restart"/>
            <w:tcBorders>
              <w:top w:val="single" w:color="auto" w:sz="12" w:space="0"/>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1.1建筑面积</w:t>
            </w:r>
          </w:p>
        </w:tc>
        <w:tc>
          <w:tcPr>
            <w:tcW w:w="7938" w:type="dxa"/>
            <w:tcBorders>
              <w:top w:val="single" w:color="auto" w:sz="12"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一级：具备不低于400</w:t>
            </w:r>
            <w:r>
              <w:rPr>
                <w:rFonts w:asciiTheme="minorEastAsia" w:hAnsiTheme="minorEastAsia" w:eastAsiaTheme="minorEastAsia"/>
                <w:szCs w:val="18"/>
                <w:vertAlign w:val="superscript"/>
              </w:rPr>
              <w:t xml:space="preserve"> </w:t>
            </w:r>
            <w:r>
              <w:rPr>
                <w:rFonts w:hint="eastAsia" w:asciiTheme="minorEastAsia" w:hAnsiTheme="minorEastAsia" w:eastAsiaTheme="minorEastAsia"/>
                <w:szCs w:val="18"/>
              </w:rPr>
              <w:t>m</w:t>
            </w:r>
            <w:r>
              <w:rPr>
                <w:rFonts w:hint="eastAsia" w:asciiTheme="minorEastAsia" w:hAnsiTheme="minorEastAsia" w:eastAsiaTheme="minorEastAsia"/>
                <w:szCs w:val="18"/>
                <w:vertAlign w:val="superscript"/>
              </w:rPr>
              <w:t>2</w:t>
            </w:r>
            <w:r>
              <w:rPr>
                <w:rFonts w:hint="eastAsia" w:asciiTheme="minorEastAsia" w:hAnsiTheme="minorEastAsia" w:eastAsiaTheme="minorEastAsia"/>
                <w:szCs w:val="18"/>
              </w:rPr>
              <w:t>的场地。</w:t>
            </w:r>
          </w:p>
        </w:tc>
        <w:tc>
          <w:tcPr>
            <w:tcW w:w="1275" w:type="dxa"/>
            <w:tcBorders>
              <w:top w:val="single" w:color="auto" w:sz="12"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13" w:type="dxa"/>
            <w:tcBorders>
              <w:top w:val="single" w:color="auto" w:sz="12"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986" w:type="dxa"/>
            <w:vMerge w:val="continue"/>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79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二级：具备不低于200</w:t>
            </w:r>
            <w:r>
              <w:rPr>
                <w:rFonts w:hint="eastAsia" w:asciiTheme="minorEastAsia" w:hAnsiTheme="minorEastAsia" w:eastAsiaTheme="minorEastAsia"/>
                <w:szCs w:val="18"/>
                <w:vertAlign w:val="superscript"/>
              </w:rPr>
              <w:t xml:space="preserve"> </w:t>
            </w:r>
            <w:r>
              <w:rPr>
                <w:rFonts w:hint="eastAsia" w:asciiTheme="minorEastAsia" w:hAnsiTheme="minorEastAsia" w:eastAsiaTheme="minorEastAsia"/>
                <w:szCs w:val="18"/>
              </w:rPr>
              <w:t>m</w:t>
            </w:r>
            <w:r>
              <w:rPr>
                <w:rFonts w:hint="eastAsia" w:asciiTheme="minorEastAsia" w:hAnsiTheme="minorEastAsia" w:eastAsiaTheme="minorEastAsia"/>
                <w:szCs w:val="18"/>
                <w:vertAlign w:val="superscript"/>
              </w:rPr>
              <w:t>2</w:t>
            </w:r>
            <w:r>
              <w:rPr>
                <w:rFonts w:hint="eastAsia" w:asciiTheme="minorEastAsia" w:hAnsiTheme="minorEastAsia" w:eastAsiaTheme="minorEastAsia"/>
                <w:szCs w:val="18"/>
              </w:rPr>
              <w:t>的场地。</w:t>
            </w:r>
          </w:p>
        </w:tc>
        <w:tc>
          <w:tcPr>
            <w:tcW w:w="1275"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13"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986" w:type="dxa"/>
            <w:vMerge w:val="continue"/>
            <w:tcBorders>
              <w:left w:val="single" w:color="000000" w:sz="4" w:space="0"/>
              <w:bottom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79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三级：具备不低于80</w:t>
            </w:r>
            <w:r>
              <w:rPr>
                <w:rFonts w:hint="eastAsia" w:asciiTheme="minorEastAsia" w:hAnsiTheme="minorEastAsia" w:eastAsiaTheme="minorEastAsia"/>
                <w:szCs w:val="18"/>
                <w:vertAlign w:val="superscript"/>
              </w:rPr>
              <w:t xml:space="preserve"> </w:t>
            </w:r>
            <w:r>
              <w:rPr>
                <w:rFonts w:hint="eastAsia" w:asciiTheme="minorEastAsia" w:hAnsiTheme="minorEastAsia" w:eastAsiaTheme="minorEastAsia"/>
                <w:szCs w:val="18"/>
              </w:rPr>
              <w:t>m</w:t>
            </w:r>
            <w:r>
              <w:rPr>
                <w:rFonts w:hint="eastAsia" w:asciiTheme="minorEastAsia" w:hAnsiTheme="minorEastAsia" w:eastAsiaTheme="minorEastAsia"/>
                <w:szCs w:val="18"/>
                <w:vertAlign w:val="superscript"/>
              </w:rPr>
              <w:t>2</w:t>
            </w:r>
            <w:r>
              <w:rPr>
                <w:rFonts w:hint="eastAsia" w:asciiTheme="minorEastAsia" w:hAnsiTheme="minorEastAsia" w:eastAsiaTheme="minorEastAsia"/>
                <w:szCs w:val="18"/>
              </w:rPr>
              <w:t>的场地。</w:t>
            </w:r>
          </w:p>
        </w:tc>
        <w:tc>
          <w:tcPr>
            <w:tcW w:w="1275"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13"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986" w:type="dxa"/>
            <w:vMerge w:val="restart"/>
            <w:tcBorders>
              <w:top w:val="single" w:color="000000" w:sz="4" w:space="0"/>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1.2环境设施</w:t>
            </w:r>
          </w:p>
        </w:tc>
        <w:tc>
          <w:tcPr>
            <w:tcW w:w="79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一级：中心设置外窗，有良好自然采光，人工照明照度充足；配备新风系统或空气净化设备；具备温湿度监测设备；隔音设施良好。</w:t>
            </w:r>
          </w:p>
        </w:tc>
        <w:tc>
          <w:tcPr>
            <w:tcW w:w="1275"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13"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986" w:type="dxa"/>
            <w:vMerge w:val="continue"/>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79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二级：中心设置外窗，室内光线均匀；配备新风系统或空气净化设备；隔音设施良好。</w:t>
            </w:r>
          </w:p>
        </w:tc>
        <w:tc>
          <w:tcPr>
            <w:tcW w:w="1275"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13"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986" w:type="dxa"/>
            <w:vMerge w:val="continue"/>
            <w:tcBorders>
              <w:left w:val="single" w:color="000000" w:sz="4" w:space="0"/>
              <w:bottom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79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三级：室内光线均匀；配备新风系统；隔音设施良好。</w:t>
            </w:r>
          </w:p>
        </w:tc>
        <w:tc>
          <w:tcPr>
            <w:tcW w:w="1275"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13"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986" w:type="dxa"/>
            <w:vMerge w:val="restart"/>
            <w:tcBorders>
              <w:top w:val="single" w:color="000000" w:sz="4" w:space="0"/>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1.3无障碍设施</w:t>
            </w:r>
          </w:p>
        </w:tc>
        <w:tc>
          <w:tcPr>
            <w:tcW w:w="79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一级：中心内外设置无障碍通道，中心内部公共走廊、电梯、运动场所、卫生间等设置安全扶手，地面具备防滑措施。</w:t>
            </w:r>
          </w:p>
        </w:tc>
        <w:tc>
          <w:tcPr>
            <w:tcW w:w="1275"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13"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986" w:type="dxa"/>
            <w:vMerge w:val="continue"/>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79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二级：中心内外设置无障碍通道，中心内部公共走廊、电梯、运动场所、卫生间等仅一两处设置安全扶手，地面具备防滑措施。</w:t>
            </w:r>
          </w:p>
        </w:tc>
        <w:tc>
          <w:tcPr>
            <w:tcW w:w="1275"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13"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986" w:type="dxa"/>
            <w:vMerge w:val="continue"/>
            <w:tcBorders>
              <w:left w:val="single" w:color="000000" w:sz="4" w:space="0"/>
              <w:bottom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79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三级：中心内外设置无障碍通道，地面具备防滑措施。</w:t>
            </w:r>
          </w:p>
        </w:tc>
        <w:tc>
          <w:tcPr>
            <w:tcW w:w="1275"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13"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986" w:type="dxa"/>
            <w:vMerge w:val="restart"/>
            <w:tcBorders>
              <w:top w:val="single" w:color="000000" w:sz="4" w:space="0"/>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1.4消防设施设备</w:t>
            </w:r>
          </w:p>
        </w:tc>
        <w:tc>
          <w:tcPr>
            <w:tcW w:w="79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一级：配备消防喷淋装置、室内消火栓、火灾自动报警系统和灭火器等消防设备，并且定期对消防设施进行检查，在明显处并张贴消防安全标识。</w:t>
            </w:r>
          </w:p>
        </w:tc>
        <w:tc>
          <w:tcPr>
            <w:tcW w:w="1275"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13"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vMerge w:val="continue"/>
            <w:tcBorders>
              <w:left w:val="single" w:color="000000" w:sz="12" w:space="0"/>
              <w:right w:val="single" w:color="000000" w:sz="4" w:space="0"/>
            </w:tcBorders>
            <w:shd w:val="clear" w:color="auto" w:fill="FFFFFF"/>
          </w:tcPr>
          <w:p>
            <w:pPr>
              <w:pStyle w:val="51"/>
              <w:widowControl w:val="0"/>
              <w:ind w:firstLine="0" w:firstLineChars="0"/>
              <w:rPr>
                <w:rFonts w:asciiTheme="minorEastAsia" w:hAnsiTheme="minorEastAsia" w:eastAsiaTheme="minorEastAsia"/>
                <w:color w:val="000000"/>
                <w:sz w:val="18"/>
                <w:szCs w:val="18"/>
              </w:rPr>
            </w:pPr>
          </w:p>
        </w:tc>
        <w:tc>
          <w:tcPr>
            <w:tcW w:w="2986" w:type="dxa"/>
            <w:vMerge w:val="continue"/>
            <w:tcBorders>
              <w:left w:val="single" w:color="000000" w:sz="4" w:space="0"/>
              <w:right w:val="single" w:color="000000" w:sz="4" w:space="0"/>
            </w:tcBorders>
            <w:shd w:val="clear" w:color="auto" w:fill="FFFFFF"/>
          </w:tcPr>
          <w:p>
            <w:pPr>
              <w:pStyle w:val="51"/>
              <w:widowControl w:val="0"/>
              <w:ind w:firstLine="0" w:firstLineChars="0"/>
              <w:rPr>
                <w:rFonts w:asciiTheme="minorEastAsia" w:hAnsiTheme="minorEastAsia" w:eastAsiaTheme="minorEastAsia"/>
                <w:color w:val="000000"/>
                <w:sz w:val="18"/>
                <w:szCs w:val="18"/>
              </w:rPr>
            </w:pPr>
          </w:p>
        </w:tc>
        <w:tc>
          <w:tcPr>
            <w:tcW w:w="79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二级：配备消防喷淋装置、室内消火栓和灭火器等消防设备，并且定期对消防设施进行检查。</w:t>
            </w:r>
          </w:p>
        </w:tc>
        <w:tc>
          <w:tcPr>
            <w:tcW w:w="1275"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13"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tcBorders>
              <w:left w:val="single" w:color="000000" w:sz="12" w:space="0"/>
              <w:bottom w:val="single" w:color="000000" w:sz="12" w:space="0"/>
              <w:right w:val="single" w:color="000000" w:sz="4" w:space="0"/>
            </w:tcBorders>
            <w:shd w:val="clear" w:color="auto" w:fill="FFFFFF"/>
          </w:tcPr>
          <w:p>
            <w:pPr>
              <w:pStyle w:val="51"/>
              <w:widowControl w:val="0"/>
              <w:ind w:firstLine="0" w:firstLineChars="0"/>
              <w:rPr>
                <w:rFonts w:asciiTheme="minorEastAsia" w:hAnsiTheme="minorEastAsia" w:eastAsiaTheme="minorEastAsia"/>
                <w:color w:val="000000"/>
                <w:sz w:val="18"/>
                <w:szCs w:val="18"/>
              </w:rPr>
            </w:pPr>
          </w:p>
        </w:tc>
        <w:tc>
          <w:tcPr>
            <w:tcW w:w="2986" w:type="dxa"/>
            <w:vMerge w:val="continue"/>
            <w:tcBorders>
              <w:left w:val="single" w:color="000000" w:sz="4" w:space="0"/>
              <w:bottom w:val="single" w:color="000000" w:sz="12" w:space="0"/>
              <w:right w:val="single" w:color="000000" w:sz="4" w:space="0"/>
            </w:tcBorders>
            <w:shd w:val="clear" w:color="auto" w:fill="FFFFFF"/>
          </w:tcPr>
          <w:p>
            <w:pPr>
              <w:pStyle w:val="51"/>
              <w:widowControl w:val="0"/>
              <w:ind w:firstLine="0" w:firstLineChars="0"/>
              <w:rPr>
                <w:rFonts w:asciiTheme="minorEastAsia" w:hAnsiTheme="minorEastAsia" w:eastAsiaTheme="minorEastAsia"/>
                <w:color w:val="000000"/>
                <w:sz w:val="18"/>
                <w:szCs w:val="18"/>
              </w:rPr>
            </w:pPr>
          </w:p>
        </w:tc>
        <w:tc>
          <w:tcPr>
            <w:tcW w:w="7938" w:type="dxa"/>
            <w:tcBorders>
              <w:top w:val="single" w:color="000000" w:sz="4" w:space="0"/>
              <w:left w:val="single" w:color="000000" w:sz="4" w:space="0"/>
              <w:bottom w:val="single" w:color="000000" w:sz="12" w:space="0"/>
              <w:right w:val="single" w:color="000000" w:sz="4" w:space="0"/>
            </w:tcBorders>
            <w:shd w:val="clear" w:color="auto" w:fill="FFFFFF"/>
          </w:tcPr>
          <w:p>
            <w:pPr>
              <w:pStyle w:val="51"/>
              <w:widowControl w:val="0"/>
              <w:ind w:firstLine="0" w:firstLineChars="0"/>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三级：配备灭火器等消防设备，并且定期对消防设施进行检查。</w:t>
            </w:r>
          </w:p>
        </w:tc>
        <w:tc>
          <w:tcPr>
            <w:tcW w:w="1275" w:type="dxa"/>
            <w:tcBorders>
              <w:top w:val="single" w:color="000000" w:sz="4" w:space="0"/>
              <w:left w:val="single" w:color="000000" w:sz="4" w:space="0"/>
              <w:bottom w:val="single" w:color="000000" w:sz="12"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13" w:type="dxa"/>
            <w:tcBorders>
              <w:top w:val="single" w:color="000000" w:sz="4" w:space="0"/>
              <w:left w:val="single" w:color="auto" w:sz="4" w:space="0"/>
              <w:bottom w:val="single" w:color="000000" w:sz="12"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bl>
    <w:p>
      <w:pPr>
        <w:pStyle w:val="51"/>
        <w:ind w:firstLine="0" w:firstLineChars="0"/>
      </w:pPr>
      <w:r>
        <w:br w:type="page"/>
      </w:r>
    </w:p>
    <w:p>
      <w:pPr>
        <w:pStyle w:val="60"/>
        <w:numPr>
          <w:ilvl w:val="0"/>
          <w:numId w:val="0"/>
        </w:numPr>
        <w:rPr>
          <w:rFonts w:ascii="宋体" w:hAnsi="宋体" w:eastAsia="宋体" w:cs="宋体"/>
          <w:szCs w:val="21"/>
        </w:rPr>
      </w:pPr>
      <w:r>
        <w:rPr>
          <w:rFonts w:hint="eastAsia"/>
        </w:rPr>
        <w:t>表</w:t>
      </w:r>
      <w:r>
        <w:t>A</w:t>
      </w:r>
      <w:r>
        <w:rPr>
          <w:rFonts w:hint="eastAsia"/>
        </w:rPr>
        <w:t>.1  运动促进健康中心分级建设内容</w:t>
      </w:r>
      <w:r>
        <w:rPr>
          <w:rFonts w:hint="eastAsia" w:ascii="宋体" w:hAnsi="宋体" w:eastAsia="宋体" w:cs="宋体"/>
          <w:szCs w:val="21"/>
        </w:rPr>
        <w:t>（续）</w:t>
      </w:r>
    </w:p>
    <w:tbl>
      <w:tblPr>
        <w:tblStyle w:val="21"/>
        <w:tblW w:w="14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4"/>
        <w:gridCol w:w="1158"/>
        <w:gridCol w:w="1677"/>
        <w:gridCol w:w="7371"/>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9" w:type="dxa"/>
            <w:gridSpan w:val="3"/>
            <w:tcBorders>
              <w:top w:val="single" w:color="000000" w:sz="12" w:space="0"/>
              <w:left w:val="single" w:color="000000" w:sz="12" w:space="0"/>
              <w:bottom w:val="single" w:color="auto" w:sz="12" w:space="0"/>
              <w:right w:val="single" w:color="000000" w:sz="4" w:space="0"/>
              <w:tl2br w:val="nil"/>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项目</w:t>
            </w:r>
          </w:p>
        </w:tc>
        <w:tc>
          <w:tcPr>
            <w:tcW w:w="7371" w:type="dxa"/>
            <w:tcBorders>
              <w:top w:val="single" w:color="000000" w:sz="12" w:space="0"/>
              <w:left w:val="single" w:color="000000" w:sz="4" w:space="0"/>
              <w:bottom w:val="single" w:color="auto"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建设内容</w:t>
            </w:r>
          </w:p>
        </w:tc>
        <w:tc>
          <w:tcPr>
            <w:tcW w:w="1276" w:type="dxa"/>
            <w:tcBorders>
              <w:top w:val="single" w:color="000000" w:sz="12" w:space="0"/>
              <w:left w:val="single" w:color="000000" w:sz="4" w:space="0"/>
              <w:bottom w:val="single" w:color="auto" w:sz="12"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必备条件</w:t>
            </w:r>
          </w:p>
        </w:tc>
        <w:tc>
          <w:tcPr>
            <w:tcW w:w="1276" w:type="dxa"/>
            <w:tcBorders>
              <w:top w:val="single" w:color="000000" w:sz="12" w:space="0"/>
              <w:left w:val="single" w:color="auto" w:sz="4" w:space="0"/>
              <w:bottom w:val="single" w:color="auto" w:sz="12"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打分栏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vMerge w:val="restart"/>
            <w:tcBorders>
              <w:top w:val="single" w:color="auto" w:sz="12" w:space="0"/>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1设施配置</w:t>
            </w:r>
          </w:p>
        </w:tc>
        <w:tc>
          <w:tcPr>
            <w:tcW w:w="2835" w:type="dxa"/>
            <w:gridSpan w:val="2"/>
            <w:vMerge w:val="restart"/>
            <w:tcBorders>
              <w:top w:val="single" w:color="auto" w:sz="12" w:space="0"/>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1.5应急疏散设施设备</w:t>
            </w:r>
          </w:p>
        </w:tc>
        <w:tc>
          <w:tcPr>
            <w:tcW w:w="7371" w:type="dxa"/>
            <w:tcBorders>
              <w:top w:val="single" w:color="auto" w:sz="12"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一级：在功能区和进出口处适当配置有/无线广播对讲系统、应急灯和安全疏散标识。</w:t>
            </w:r>
          </w:p>
        </w:tc>
        <w:tc>
          <w:tcPr>
            <w:tcW w:w="1276" w:type="dxa"/>
            <w:tcBorders>
              <w:top w:val="single" w:color="auto" w:sz="12"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auto" w:sz="12"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835" w:type="dxa"/>
            <w:gridSpan w:val="2"/>
            <w:vMerge w:val="continue"/>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二级：在功能区和进出口处适当配置应急灯和安全疏散标识。</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4"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835" w:type="dxa"/>
            <w:gridSpan w:val="2"/>
            <w:vMerge w:val="continue"/>
            <w:tcBorders>
              <w:left w:val="single" w:color="000000" w:sz="4" w:space="0"/>
              <w:bottom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三级：有安全疏散标识。</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vMerge w:val="restart"/>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2功能区设置</w:t>
            </w:r>
          </w:p>
        </w:tc>
        <w:tc>
          <w:tcPr>
            <w:tcW w:w="1158" w:type="dxa"/>
            <w:vMerge w:val="restart"/>
            <w:tcBorders>
              <w:top w:val="single" w:color="000000" w:sz="4" w:space="0"/>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2.1核心功能区</w:t>
            </w:r>
          </w:p>
        </w:tc>
        <w:tc>
          <w:tcPr>
            <w:tcW w:w="1677" w:type="dxa"/>
            <w:vMerge w:val="restart"/>
            <w:tcBorders>
              <w:top w:val="single" w:color="000000" w:sz="4" w:space="0"/>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2.1.1体质和健康检测区</w:t>
            </w: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一级：有明确指示标志，面积在50</w:t>
            </w:r>
            <w:r>
              <w:rPr>
                <w:rFonts w:hint="eastAsia" w:asciiTheme="minorEastAsia" w:hAnsiTheme="minorEastAsia" w:eastAsiaTheme="minorEastAsia"/>
                <w:szCs w:val="18"/>
                <w:vertAlign w:val="superscript"/>
              </w:rPr>
              <w:t xml:space="preserve"> </w:t>
            </w:r>
            <w:r>
              <w:rPr>
                <w:rFonts w:hint="eastAsia" w:asciiTheme="minorEastAsia" w:hAnsiTheme="minorEastAsia" w:eastAsiaTheme="minorEastAsia"/>
                <w:szCs w:val="18"/>
              </w:rPr>
              <w:t>m</w:t>
            </w:r>
            <w:r>
              <w:rPr>
                <w:rFonts w:hint="eastAsia" w:asciiTheme="minorEastAsia" w:hAnsiTheme="minorEastAsia" w:eastAsiaTheme="minorEastAsia"/>
                <w:szCs w:val="18"/>
                <w:vertAlign w:val="superscript"/>
              </w:rPr>
              <w:t>2</w:t>
            </w:r>
            <w:r>
              <w:rPr>
                <w:rFonts w:hint="eastAsia" w:asciiTheme="minorEastAsia" w:hAnsiTheme="minorEastAsia" w:eastAsiaTheme="minorEastAsia"/>
                <w:szCs w:val="18"/>
              </w:rPr>
              <w:t>以上。</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58" w:type="dxa"/>
            <w:vMerge w:val="continue"/>
            <w:tcBorders>
              <w:left w:val="single" w:color="000000" w:sz="4" w:space="0"/>
              <w:right w:val="single" w:color="000000" w:sz="4" w:space="0"/>
            </w:tcBorders>
            <w:shd w:val="clear" w:color="auto" w:fill="FFFFFF"/>
            <w:vAlign w:val="center"/>
          </w:tcPr>
          <w:p>
            <w:pPr>
              <w:pStyle w:val="51"/>
              <w:widowControl w:val="0"/>
              <w:ind w:firstLine="360"/>
              <w:jc w:val="center"/>
              <w:rPr>
                <w:rFonts w:asciiTheme="minorEastAsia" w:hAnsiTheme="minorEastAsia" w:eastAsiaTheme="minorEastAsia"/>
                <w:color w:val="000000"/>
                <w:sz w:val="18"/>
                <w:szCs w:val="18"/>
              </w:rPr>
            </w:pPr>
          </w:p>
        </w:tc>
        <w:tc>
          <w:tcPr>
            <w:tcW w:w="1677"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二级：有明确指示标志，面积在20</w:t>
            </w:r>
            <w:r>
              <w:rPr>
                <w:rFonts w:hint="eastAsia" w:asciiTheme="minorEastAsia" w:hAnsiTheme="minorEastAsia" w:eastAsiaTheme="minorEastAsia"/>
                <w:szCs w:val="18"/>
                <w:vertAlign w:val="superscript"/>
              </w:rPr>
              <w:t xml:space="preserve"> </w:t>
            </w:r>
            <w:r>
              <w:rPr>
                <w:rFonts w:hint="eastAsia" w:asciiTheme="minorEastAsia" w:hAnsiTheme="minorEastAsia" w:eastAsiaTheme="minorEastAsia"/>
                <w:szCs w:val="18"/>
              </w:rPr>
              <w:t>m</w:t>
            </w:r>
            <w:r>
              <w:rPr>
                <w:rFonts w:hint="eastAsia" w:asciiTheme="minorEastAsia" w:hAnsiTheme="minorEastAsia" w:eastAsiaTheme="minorEastAsia"/>
                <w:szCs w:val="18"/>
                <w:vertAlign w:val="superscript"/>
              </w:rPr>
              <w:t>2</w:t>
            </w:r>
            <w:r>
              <w:rPr>
                <w:rFonts w:hint="eastAsia" w:asciiTheme="minorEastAsia" w:hAnsiTheme="minorEastAsia" w:eastAsiaTheme="minorEastAsia"/>
                <w:szCs w:val="18"/>
              </w:rPr>
              <w:t>以上。</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58" w:type="dxa"/>
            <w:vMerge w:val="continue"/>
            <w:tcBorders>
              <w:left w:val="single" w:color="000000" w:sz="4" w:space="0"/>
              <w:right w:val="single" w:color="000000" w:sz="4" w:space="0"/>
            </w:tcBorders>
            <w:shd w:val="clear" w:color="auto" w:fill="FFFFFF"/>
            <w:vAlign w:val="center"/>
          </w:tcPr>
          <w:p>
            <w:pPr>
              <w:pStyle w:val="51"/>
              <w:widowControl w:val="0"/>
              <w:ind w:firstLine="360"/>
              <w:jc w:val="center"/>
              <w:rPr>
                <w:rFonts w:asciiTheme="minorEastAsia" w:hAnsiTheme="minorEastAsia" w:eastAsiaTheme="minorEastAsia"/>
                <w:color w:val="000000"/>
                <w:sz w:val="18"/>
                <w:szCs w:val="18"/>
              </w:rPr>
            </w:pPr>
          </w:p>
        </w:tc>
        <w:tc>
          <w:tcPr>
            <w:tcW w:w="1677"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三级：有明确指示标志，面积在10</w:t>
            </w:r>
            <w:r>
              <w:rPr>
                <w:rFonts w:hint="eastAsia" w:asciiTheme="minorEastAsia" w:hAnsiTheme="minorEastAsia" w:eastAsiaTheme="minorEastAsia"/>
                <w:szCs w:val="18"/>
                <w:vertAlign w:val="superscript"/>
              </w:rPr>
              <w:t xml:space="preserve"> </w:t>
            </w:r>
            <w:r>
              <w:rPr>
                <w:rFonts w:hint="eastAsia" w:asciiTheme="minorEastAsia" w:hAnsiTheme="minorEastAsia" w:eastAsiaTheme="minorEastAsia"/>
                <w:szCs w:val="18"/>
              </w:rPr>
              <w:t>m</w:t>
            </w:r>
            <w:r>
              <w:rPr>
                <w:rFonts w:hint="eastAsia" w:asciiTheme="minorEastAsia" w:hAnsiTheme="minorEastAsia" w:eastAsiaTheme="minorEastAsia"/>
                <w:szCs w:val="18"/>
                <w:vertAlign w:val="superscript"/>
              </w:rPr>
              <w:t>2</w:t>
            </w:r>
            <w:r>
              <w:rPr>
                <w:rFonts w:hint="eastAsia" w:asciiTheme="minorEastAsia" w:hAnsiTheme="minorEastAsia" w:eastAsiaTheme="minorEastAsia"/>
                <w:szCs w:val="18"/>
              </w:rPr>
              <w:t>以上。</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4"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58" w:type="dxa"/>
            <w:vMerge w:val="continue"/>
            <w:tcBorders>
              <w:left w:val="single" w:color="000000" w:sz="4" w:space="0"/>
              <w:right w:val="single" w:color="000000" w:sz="4" w:space="0"/>
            </w:tcBorders>
            <w:shd w:val="clear" w:color="auto" w:fill="FFFFFF"/>
            <w:vAlign w:val="center"/>
          </w:tcPr>
          <w:p>
            <w:pPr>
              <w:pStyle w:val="51"/>
              <w:widowControl w:val="0"/>
              <w:ind w:firstLine="360"/>
              <w:jc w:val="center"/>
              <w:rPr>
                <w:rFonts w:asciiTheme="minorEastAsia" w:hAnsiTheme="minorEastAsia" w:eastAsiaTheme="minorEastAsia"/>
                <w:color w:val="000000"/>
                <w:sz w:val="18"/>
                <w:szCs w:val="18"/>
              </w:rPr>
            </w:pPr>
          </w:p>
        </w:tc>
        <w:tc>
          <w:tcPr>
            <w:tcW w:w="1677" w:type="dxa"/>
            <w:vMerge w:val="restart"/>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2.1.2体质和健康评估指导区</w:t>
            </w: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一级：有明确指示标志，面积在50</w:t>
            </w:r>
            <w:r>
              <w:rPr>
                <w:rFonts w:hint="eastAsia" w:asciiTheme="minorEastAsia" w:hAnsiTheme="minorEastAsia" w:eastAsiaTheme="minorEastAsia"/>
                <w:szCs w:val="18"/>
                <w:vertAlign w:val="superscript"/>
              </w:rPr>
              <w:t xml:space="preserve"> </w:t>
            </w:r>
            <w:r>
              <w:rPr>
                <w:rFonts w:hint="eastAsia" w:asciiTheme="minorEastAsia" w:hAnsiTheme="minorEastAsia" w:eastAsiaTheme="minorEastAsia"/>
                <w:szCs w:val="18"/>
              </w:rPr>
              <w:t>m</w:t>
            </w:r>
            <w:r>
              <w:rPr>
                <w:rFonts w:hint="eastAsia" w:asciiTheme="minorEastAsia" w:hAnsiTheme="minorEastAsia" w:eastAsiaTheme="minorEastAsia"/>
                <w:szCs w:val="18"/>
                <w:vertAlign w:val="superscript"/>
              </w:rPr>
              <w:t>2</w:t>
            </w:r>
            <w:r>
              <w:rPr>
                <w:rFonts w:hint="eastAsia" w:asciiTheme="minorEastAsia" w:hAnsiTheme="minorEastAsia" w:eastAsiaTheme="minorEastAsia"/>
                <w:szCs w:val="18"/>
              </w:rPr>
              <w:t>以上。</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58" w:type="dxa"/>
            <w:vMerge w:val="continue"/>
            <w:tcBorders>
              <w:left w:val="single" w:color="000000" w:sz="4" w:space="0"/>
              <w:right w:val="single" w:color="000000" w:sz="4" w:space="0"/>
            </w:tcBorders>
            <w:shd w:val="clear" w:color="auto" w:fill="FFFFFF"/>
            <w:vAlign w:val="center"/>
          </w:tcPr>
          <w:p>
            <w:pPr>
              <w:pStyle w:val="51"/>
              <w:widowControl w:val="0"/>
              <w:ind w:firstLine="360"/>
              <w:jc w:val="center"/>
              <w:rPr>
                <w:rFonts w:asciiTheme="minorEastAsia" w:hAnsiTheme="minorEastAsia" w:eastAsiaTheme="minorEastAsia"/>
                <w:color w:val="000000"/>
                <w:sz w:val="18"/>
                <w:szCs w:val="18"/>
              </w:rPr>
            </w:pPr>
          </w:p>
        </w:tc>
        <w:tc>
          <w:tcPr>
            <w:tcW w:w="1677"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二级：有明确指示标志，面积在20</w:t>
            </w:r>
            <w:r>
              <w:rPr>
                <w:rFonts w:hint="eastAsia" w:asciiTheme="minorEastAsia" w:hAnsiTheme="minorEastAsia" w:eastAsiaTheme="minorEastAsia"/>
                <w:szCs w:val="18"/>
                <w:vertAlign w:val="superscript"/>
              </w:rPr>
              <w:t xml:space="preserve"> </w:t>
            </w:r>
            <w:r>
              <w:rPr>
                <w:rFonts w:hint="eastAsia" w:asciiTheme="minorEastAsia" w:hAnsiTheme="minorEastAsia" w:eastAsiaTheme="minorEastAsia"/>
                <w:szCs w:val="18"/>
              </w:rPr>
              <w:t>m</w:t>
            </w:r>
            <w:r>
              <w:rPr>
                <w:rFonts w:hint="eastAsia" w:asciiTheme="minorEastAsia" w:hAnsiTheme="minorEastAsia" w:eastAsiaTheme="minorEastAsia"/>
                <w:szCs w:val="18"/>
                <w:vertAlign w:val="superscript"/>
              </w:rPr>
              <w:t>2</w:t>
            </w:r>
            <w:r>
              <w:rPr>
                <w:rFonts w:hint="eastAsia" w:asciiTheme="minorEastAsia" w:hAnsiTheme="minorEastAsia" w:eastAsiaTheme="minorEastAsia"/>
                <w:szCs w:val="18"/>
              </w:rPr>
              <w:t>以上。</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58" w:type="dxa"/>
            <w:vMerge w:val="continue"/>
            <w:tcBorders>
              <w:left w:val="single" w:color="000000" w:sz="4" w:space="0"/>
              <w:right w:val="single" w:color="000000" w:sz="4" w:space="0"/>
            </w:tcBorders>
            <w:shd w:val="clear" w:color="auto" w:fill="FFFFFF"/>
            <w:vAlign w:val="center"/>
          </w:tcPr>
          <w:p>
            <w:pPr>
              <w:pStyle w:val="51"/>
              <w:widowControl w:val="0"/>
              <w:ind w:firstLine="360"/>
              <w:jc w:val="center"/>
              <w:rPr>
                <w:rFonts w:asciiTheme="minorEastAsia" w:hAnsiTheme="minorEastAsia" w:eastAsiaTheme="minorEastAsia"/>
                <w:color w:val="000000"/>
                <w:sz w:val="18"/>
                <w:szCs w:val="18"/>
              </w:rPr>
            </w:pPr>
          </w:p>
        </w:tc>
        <w:tc>
          <w:tcPr>
            <w:tcW w:w="1677"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三级：有明确指示标志，面积在10</w:t>
            </w:r>
            <w:r>
              <w:rPr>
                <w:rFonts w:hint="eastAsia" w:asciiTheme="minorEastAsia" w:hAnsiTheme="minorEastAsia" w:eastAsiaTheme="minorEastAsia"/>
                <w:szCs w:val="18"/>
                <w:vertAlign w:val="superscript"/>
              </w:rPr>
              <w:t xml:space="preserve"> </w:t>
            </w:r>
            <w:r>
              <w:rPr>
                <w:rFonts w:hint="eastAsia" w:asciiTheme="minorEastAsia" w:hAnsiTheme="minorEastAsia" w:eastAsiaTheme="minorEastAsia"/>
                <w:szCs w:val="18"/>
              </w:rPr>
              <w:t>m</w:t>
            </w:r>
            <w:r>
              <w:rPr>
                <w:rFonts w:hint="eastAsia" w:asciiTheme="minorEastAsia" w:hAnsiTheme="minorEastAsia" w:eastAsiaTheme="minorEastAsia"/>
                <w:szCs w:val="18"/>
                <w:vertAlign w:val="superscript"/>
              </w:rPr>
              <w:t>2</w:t>
            </w:r>
            <w:r>
              <w:rPr>
                <w:rFonts w:hint="eastAsia" w:asciiTheme="minorEastAsia" w:hAnsiTheme="minorEastAsia" w:eastAsiaTheme="minorEastAsia"/>
                <w:szCs w:val="18"/>
              </w:rPr>
              <w:t>以上。</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58" w:type="dxa"/>
            <w:vMerge w:val="continue"/>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677" w:type="dxa"/>
            <w:vMerge w:val="restart"/>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2.1.3运动健康服务区</w:t>
            </w: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一级：有明确指示标志，面积在50</w:t>
            </w:r>
            <w:r>
              <w:rPr>
                <w:rFonts w:hint="eastAsia" w:asciiTheme="minorEastAsia" w:hAnsiTheme="minorEastAsia" w:eastAsiaTheme="minorEastAsia"/>
                <w:szCs w:val="18"/>
                <w:vertAlign w:val="superscript"/>
              </w:rPr>
              <w:t xml:space="preserve"> </w:t>
            </w:r>
            <w:r>
              <w:rPr>
                <w:rFonts w:hint="eastAsia" w:asciiTheme="minorEastAsia" w:hAnsiTheme="minorEastAsia" w:eastAsiaTheme="minorEastAsia"/>
                <w:szCs w:val="18"/>
              </w:rPr>
              <w:t>m</w:t>
            </w:r>
            <w:r>
              <w:rPr>
                <w:rFonts w:hint="eastAsia" w:asciiTheme="minorEastAsia" w:hAnsiTheme="minorEastAsia" w:eastAsiaTheme="minorEastAsia"/>
                <w:szCs w:val="18"/>
                <w:vertAlign w:val="superscript"/>
              </w:rPr>
              <w:t>2</w:t>
            </w:r>
            <w:r>
              <w:rPr>
                <w:rFonts w:hint="eastAsia" w:asciiTheme="minorEastAsia" w:hAnsiTheme="minorEastAsia" w:eastAsiaTheme="minorEastAsia"/>
                <w:szCs w:val="18"/>
              </w:rPr>
              <w:t>以上。</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4"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58" w:type="dxa"/>
            <w:vMerge w:val="continue"/>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677"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二级：有明确指示标志，面积在20</w:t>
            </w:r>
            <w:r>
              <w:rPr>
                <w:rFonts w:hint="eastAsia" w:asciiTheme="minorEastAsia" w:hAnsiTheme="minorEastAsia" w:eastAsiaTheme="minorEastAsia"/>
                <w:szCs w:val="18"/>
                <w:vertAlign w:val="superscript"/>
              </w:rPr>
              <w:t xml:space="preserve"> </w:t>
            </w:r>
            <w:r>
              <w:rPr>
                <w:rFonts w:hint="eastAsia" w:asciiTheme="minorEastAsia" w:hAnsiTheme="minorEastAsia" w:eastAsiaTheme="minorEastAsia"/>
                <w:szCs w:val="18"/>
              </w:rPr>
              <w:t>m</w:t>
            </w:r>
            <w:r>
              <w:rPr>
                <w:rFonts w:hint="eastAsia" w:asciiTheme="minorEastAsia" w:hAnsiTheme="minorEastAsia" w:eastAsiaTheme="minorEastAsia"/>
                <w:szCs w:val="18"/>
                <w:vertAlign w:val="superscript"/>
              </w:rPr>
              <w:t>2</w:t>
            </w:r>
            <w:r>
              <w:rPr>
                <w:rFonts w:hint="eastAsia" w:asciiTheme="minorEastAsia" w:hAnsiTheme="minorEastAsia" w:eastAsiaTheme="minorEastAsia"/>
                <w:szCs w:val="18"/>
              </w:rPr>
              <w:t>以上。</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158" w:type="dxa"/>
            <w:vMerge w:val="continue"/>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677"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三级：有明确指示标志，面积在10</w:t>
            </w:r>
            <w:r>
              <w:rPr>
                <w:rFonts w:hint="eastAsia" w:asciiTheme="minorEastAsia" w:hAnsiTheme="minorEastAsia" w:eastAsiaTheme="minorEastAsia"/>
                <w:szCs w:val="18"/>
                <w:vertAlign w:val="superscript"/>
              </w:rPr>
              <w:t xml:space="preserve"> </w:t>
            </w:r>
            <w:r>
              <w:rPr>
                <w:rFonts w:hint="eastAsia" w:asciiTheme="minorEastAsia" w:hAnsiTheme="minorEastAsia" w:eastAsiaTheme="minorEastAsia"/>
                <w:szCs w:val="18"/>
              </w:rPr>
              <w:t>m</w:t>
            </w:r>
            <w:r>
              <w:rPr>
                <w:rFonts w:hint="eastAsia" w:asciiTheme="minorEastAsia" w:hAnsiTheme="minorEastAsia" w:eastAsiaTheme="minorEastAsia"/>
                <w:szCs w:val="18"/>
                <w:vertAlign w:val="superscript"/>
              </w:rPr>
              <w:t>2</w:t>
            </w:r>
            <w:r>
              <w:rPr>
                <w:rFonts w:hint="eastAsia" w:asciiTheme="minorEastAsia" w:hAnsiTheme="minorEastAsia" w:eastAsiaTheme="minorEastAsia"/>
                <w:szCs w:val="18"/>
              </w:rPr>
              <w:t>以上。</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835" w:type="dxa"/>
            <w:gridSpan w:val="2"/>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2.2拓展功能区（25分）</w:t>
            </w: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具备老年健康服务区、慢性病干预区、功能康复区、家庭互动区、综合服务区等以及其他拓展功能区，具备相应区域服务功能。（有相应门牌，一个功能区得5分）</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835" w:type="dxa"/>
            <w:gridSpan w:val="2"/>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2.3辅助功能区（16分）</w:t>
            </w: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具备前台接待区、办公区、更衣室、卫生间、淋浴室、培训室、会议室等以及其他辅助功能区。（有相应门牌，一个功能区得2分）</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4" w:type="dxa"/>
            <w:vMerge w:val="restart"/>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3软硬件设备以及器材配置</w:t>
            </w:r>
          </w:p>
        </w:tc>
        <w:tc>
          <w:tcPr>
            <w:tcW w:w="2835" w:type="dxa"/>
            <w:gridSpan w:val="2"/>
            <w:vMerge w:val="restart"/>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3.1健康信息综合管理系统</w:t>
            </w:r>
          </w:p>
        </w:tc>
        <w:tc>
          <w:tcPr>
            <w:tcW w:w="73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配置健康信息综合管理系统；系统包含预约测试、体质和健康评估、健康预警、运动处方开具、健康档案管理、数据统计分析、数据查询等功能；支持在智能健身设备上进行运动处方打卡和运动数据采集；系统可实现健康预警功能；支持个人打印、客户端查询检测报告等。</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4" w:type="dxa"/>
            <w:vMerge w:val="continue"/>
            <w:tcBorders>
              <w:left w:val="single" w:color="000000" w:sz="12" w:space="0"/>
              <w:bottom w:val="single" w:color="000000" w:sz="12" w:space="0"/>
              <w:right w:val="single" w:color="000000" w:sz="4" w:space="0"/>
            </w:tcBorders>
            <w:shd w:val="clear" w:color="auto" w:fill="FFFFFF"/>
          </w:tcPr>
          <w:p>
            <w:pPr>
              <w:pStyle w:val="51"/>
              <w:widowControl w:val="0"/>
              <w:ind w:firstLine="0" w:firstLineChars="0"/>
              <w:rPr>
                <w:rFonts w:asciiTheme="minorEastAsia" w:hAnsiTheme="minorEastAsia" w:eastAsiaTheme="minorEastAsia"/>
                <w:color w:val="000000"/>
                <w:sz w:val="18"/>
                <w:szCs w:val="18"/>
              </w:rPr>
            </w:pPr>
          </w:p>
        </w:tc>
        <w:tc>
          <w:tcPr>
            <w:tcW w:w="2835" w:type="dxa"/>
            <w:gridSpan w:val="2"/>
            <w:vMerge w:val="continue"/>
            <w:tcBorders>
              <w:left w:val="single" w:color="000000" w:sz="4" w:space="0"/>
              <w:bottom w:val="single" w:color="000000" w:sz="12" w:space="0"/>
              <w:right w:val="single" w:color="000000" w:sz="4" w:space="0"/>
            </w:tcBorders>
            <w:shd w:val="clear" w:color="auto" w:fill="FFFFFF"/>
          </w:tcPr>
          <w:p>
            <w:pPr>
              <w:pStyle w:val="51"/>
              <w:widowControl w:val="0"/>
              <w:ind w:firstLine="0" w:firstLineChars="0"/>
              <w:rPr>
                <w:rFonts w:asciiTheme="minorEastAsia" w:hAnsiTheme="minorEastAsia" w:eastAsiaTheme="minorEastAsia"/>
                <w:color w:val="000000"/>
                <w:sz w:val="18"/>
                <w:szCs w:val="18"/>
              </w:rPr>
            </w:pPr>
          </w:p>
        </w:tc>
        <w:tc>
          <w:tcPr>
            <w:tcW w:w="7371" w:type="dxa"/>
            <w:tcBorders>
              <w:top w:val="single" w:color="000000" w:sz="4" w:space="0"/>
              <w:left w:val="single" w:color="000000" w:sz="4" w:space="0"/>
              <w:bottom w:val="single" w:color="000000" w:sz="12"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二级：配置健康信息综合管理系统；系统包含预约测试、体质和健康评估、健康预警、运动处方开具、健康档案管理、数据统计分析、数据查询等功能；支持个人打印、客户端查询检测报告等。</w:t>
            </w:r>
          </w:p>
        </w:tc>
        <w:tc>
          <w:tcPr>
            <w:tcW w:w="1276" w:type="dxa"/>
            <w:tcBorders>
              <w:top w:val="single" w:color="000000" w:sz="4" w:space="0"/>
              <w:left w:val="single" w:color="000000" w:sz="4" w:space="0"/>
              <w:bottom w:val="single" w:color="000000" w:sz="12"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6" w:type="dxa"/>
            <w:tcBorders>
              <w:top w:val="single" w:color="000000" w:sz="4" w:space="0"/>
              <w:left w:val="single" w:color="auto" w:sz="4" w:space="0"/>
              <w:bottom w:val="single" w:color="000000" w:sz="12"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bl>
    <w:p>
      <w:pPr>
        <w:pStyle w:val="51"/>
        <w:ind w:firstLine="0" w:firstLineChars="0"/>
      </w:pPr>
      <w:r>
        <w:br w:type="page"/>
      </w:r>
    </w:p>
    <w:p>
      <w:pPr>
        <w:pStyle w:val="60"/>
        <w:numPr>
          <w:ilvl w:val="0"/>
          <w:numId w:val="0"/>
        </w:numPr>
        <w:rPr>
          <w:rFonts w:ascii="宋体" w:hAnsi="宋体" w:eastAsia="宋体" w:cs="宋体"/>
          <w:szCs w:val="21"/>
        </w:rPr>
      </w:pPr>
      <w:r>
        <w:rPr>
          <w:rFonts w:hint="eastAsia"/>
        </w:rPr>
        <w:t>表</w:t>
      </w:r>
      <w:r>
        <w:t>A</w:t>
      </w:r>
      <w:r>
        <w:rPr>
          <w:rFonts w:hint="eastAsia"/>
        </w:rPr>
        <w:t>.1  运动促进健康中心分级建设内容</w:t>
      </w:r>
      <w:r>
        <w:rPr>
          <w:rFonts w:hint="eastAsia" w:ascii="宋体" w:hAnsi="宋体" w:eastAsia="宋体" w:cs="宋体"/>
          <w:szCs w:val="21"/>
        </w:rPr>
        <w:t>（续）</w:t>
      </w:r>
    </w:p>
    <w:tbl>
      <w:tblPr>
        <w:tblStyle w:val="21"/>
        <w:tblW w:w="14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1275"/>
        <w:gridCol w:w="9356"/>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8" w:type="dxa"/>
            <w:gridSpan w:val="2"/>
            <w:tcBorders>
              <w:top w:val="single" w:color="000000" w:sz="12" w:space="0"/>
              <w:left w:val="single" w:color="000000" w:sz="12" w:space="0"/>
              <w:bottom w:val="single" w:color="auto" w:sz="12" w:space="0"/>
              <w:right w:val="single" w:color="000000" w:sz="4" w:space="0"/>
              <w:tl2br w:val="nil"/>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项目</w:t>
            </w:r>
          </w:p>
        </w:tc>
        <w:tc>
          <w:tcPr>
            <w:tcW w:w="9356" w:type="dxa"/>
            <w:tcBorders>
              <w:top w:val="single" w:color="000000" w:sz="12" w:space="0"/>
              <w:left w:val="single" w:color="000000" w:sz="4" w:space="0"/>
              <w:bottom w:val="single" w:color="auto"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建设内容</w:t>
            </w:r>
          </w:p>
        </w:tc>
        <w:tc>
          <w:tcPr>
            <w:tcW w:w="1276" w:type="dxa"/>
            <w:tcBorders>
              <w:top w:val="single" w:color="000000" w:sz="12" w:space="0"/>
              <w:left w:val="single" w:color="000000" w:sz="4" w:space="0"/>
              <w:bottom w:val="single" w:color="auto" w:sz="12"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必备条件</w:t>
            </w:r>
          </w:p>
        </w:tc>
        <w:tc>
          <w:tcPr>
            <w:tcW w:w="992" w:type="dxa"/>
            <w:tcBorders>
              <w:top w:val="single" w:color="000000" w:sz="12" w:space="0"/>
              <w:left w:val="single" w:color="auto" w:sz="4" w:space="0"/>
              <w:bottom w:val="single" w:color="auto" w:sz="12"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打分栏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3" w:type="dxa"/>
            <w:vMerge w:val="restart"/>
            <w:tcBorders>
              <w:top w:val="single" w:color="auto" w:sz="12" w:space="0"/>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3软硬件设备以及器材配置</w:t>
            </w:r>
          </w:p>
        </w:tc>
        <w:tc>
          <w:tcPr>
            <w:tcW w:w="1275" w:type="dxa"/>
            <w:tcBorders>
              <w:top w:val="single" w:color="auto" w:sz="12" w:space="0"/>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3.1健康信息综合管理系统</w:t>
            </w:r>
          </w:p>
        </w:tc>
        <w:tc>
          <w:tcPr>
            <w:tcW w:w="9356" w:type="dxa"/>
            <w:tcBorders>
              <w:top w:val="single" w:color="auto" w:sz="12"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三级：配置健康信息综合管理系统。</w:t>
            </w:r>
          </w:p>
        </w:tc>
        <w:tc>
          <w:tcPr>
            <w:tcW w:w="1276" w:type="dxa"/>
            <w:tcBorders>
              <w:top w:val="single" w:color="auto" w:sz="12"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92" w:type="dxa"/>
            <w:tcBorders>
              <w:top w:val="single" w:color="auto" w:sz="12"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3"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5" w:type="dxa"/>
            <w:vMerge w:val="restart"/>
            <w:tcBorders>
              <w:top w:val="single" w:color="000000" w:sz="4" w:space="0"/>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3.2体质和健康检测区</w:t>
            </w:r>
          </w:p>
        </w:tc>
        <w:tc>
          <w:tcPr>
            <w:tcW w:w="93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一级：配备智能显示屏；</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健康检测设备包括体重、体温、血压、血氧、血糖、肺活量、骨密度、视力检测设备等；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体质和体适能检测设备，配置成年人、青少年和老年人国民体质检测设备，可检测身体形态、身体机能、身体素质等；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配备体质检测设备，包括肺活量、握力、坐位体前屈俯卧撑、一分钟仰卧起坐、闭眼单脚站立、纵跳、选择反应时、身高、体重、人体成份分析测试器材和腰臀比设备等。</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92"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03"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5" w:type="dxa"/>
            <w:vMerge w:val="continue"/>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3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二级：配备智能显示屏；</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健康检测设备包括体重、体温、血压、血氧、血糖、肺活量、骨密度、视力检测设备等；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体质和体适能检测设备，配置成年人、青少年和老年人国民体质检测设备，可检测身体形态、身体机能、身体素质等。</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92"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3"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5" w:type="dxa"/>
            <w:vMerge w:val="continue"/>
            <w:tcBorders>
              <w:left w:val="single" w:color="000000" w:sz="4" w:space="0"/>
              <w:bottom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3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三级：配备智能显示屏；健康检测设备包括体重、体温、血压、血氧、血糖、肺活量、骨密度、视力检测设备等。</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92"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3"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5" w:type="dxa"/>
            <w:vMerge w:val="restart"/>
            <w:tcBorders>
              <w:top w:val="single" w:color="000000" w:sz="4" w:space="0"/>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3.3体质和健康评估指导区</w:t>
            </w:r>
          </w:p>
        </w:tc>
        <w:tc>
          <w:tcPr>
            <w:tcW w:w="93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一级：配备智能显示屏、健康风险评估系统；根据实际使用面积和拟接待人数配备相应的桌椅、可移动黑板等；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配置抑郁、焦虑、睡眠评估设备，人体体成分检测仪，骨密度仪，B超仪，心电图仪等。</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92"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3"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5" w:type="dxa"/>
            <w:vMerge w:val="continue"/>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3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二级：配备智能显示屏、健康风险评估系统；根据实际使用面积和拟接待人数配备相应的桌椅、可移动黑板等。</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92"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03"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5" w:type="dxa"/>
            <w:vMerge w:val="continue"/>
            <w:tcBorders>
              <w:left w:val="single" w:color="000000" w:sz="4" w:space="0"/>
              <w:bottom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3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三级：配备健康风险评估系统。</w:t>
            </w:r>
          </w:p>
        </w:tc>
        <w:tc>
          <w:tcPr>
            <w:tcW w:w="1276"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92"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3" w:type="dxa"/>
            <w:vMerge w:val="continue"/>
            <w:tcBorders>
              <w:left w:val="single" w:color="000000" w:sz="12"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275" w:type="dxa"/>
            <w:tcBorders>
              <w:left w:val="single" w:color="000000" w:sz="4"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3.4运动健康服务区</w:t>
            </w:r>
          </w:p>
        </w:tc>
        <w:tc>
          <w:tcPr>
            <w:tcW w:w="9356" w:type="dxa"/>
            <w:tcBorders>
              <w:top w:val="single" w:color="000000" w:sz="4" w:space="0"/>
              <w:left w:val="single" w:color="000000" w:sz="4" w:space="0"/>
              <w:bottom w:val="single" w:color="000000" w:sz="12" w:space="0"/>
              <w:right w:val="single" w:color="000000" w:sz="4" w:space="0"/>
            </w:tcBorders>
            <w:shd w:val="clear" w:color="auto" w:fill="FFFFFF"/>
          </w:tcPr>
          <w:p>
            <w:pPr>
              <w:pStyle w:val="51"/>
              <w:widowControl w:val="0"/>
              <w:ind w:firstLine="0" w:firstLineChars="0"/>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一级：配备包括但不限于以下5类设备：</w:t>
            </w:r>
          </w:p>
          <w:p>
            <w:pPr>
              <w:pStyle w:val="51"/>
              <w:widowControl w:val="0"/>
              <w:ind w:firstLine="0" w:firstLineChars="0"/>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有氧心肺耐力提升设备，如跑步机、划船机、立式或卧式健身车、功率自行车等；</w:t>
            </w:r>
          </w:p>
          <w:p>
            <w:pPr>
              <w:pStyle w:val="51"/>
              <w:widowControl w:val="0"/>
              <w:ind w:firstLine="0" w:firstLineChars="0"/>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抗阻训练设备，如史密斯机、哑铃、杠铃等；</w:t>
            </w:r>
          </w:p>
          <w:p>
            <w:pPr>
              <w:pStyle w:val="51"/>
              <w:widowControl w:val="0"/>
              <w:ind w:firstLine="0" w:firstLineChars="0"/>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平衡、柔韧、灵敏、协调等功能训练器材，如瑜伽垫、平衡球、平衡板、拉伸带等；</w:t>
            </w:r>
          </w:p>
          <w:p>
            <w:pPr>
              <w:pStyle w:val="51"/>
              <w:widowControl w:val="0"/>
              <w:ind w:firstLine="0" w:firstLineChars="0"/>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能够提供运动心电监测、呼吸监测等服务，能够设定运动负荷、规避运动风险等设备；</w:t>
            </w:r>
          </w:p>
          <w:p>
            <w:pPr>
              <w:pStyle w:val="51"/>
              <w:widowControl w:val="0"/>
              <w:ind w:firstLine="0" w:firstLineChars="0"/>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配备伸展和放松设备，如伸展机、按摩椅等。</w:t>
            </w:r>
          </w:p>
        </w:tc>
        <w:tc>
          <w:tcPr>
            <w:tcW w:w="1276" w:type="dxa"/>
            <w:tcBorders>
              <w:top w:val="single" w:color="000000" w:sz="4" w:space="0"/>
              <w:left w:val="single" w:color="000000" w:sz="4" w:space="0"/>
              <w:bottom w:val="single" w:color="000000" w:sz="12"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92" w:type="dxa"/>
            <w:tcBorders>
              <w:top w:val="single" w:color="000000" w:sz="4" w:space="0"/>
              <w:left w:val="single" w:color="auto" w:sz="4" w:space="0"/>
              <w:bottom w:val="single" w:color="000000" w:sz="12"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bl>
    <w:p>
      <w:pPr>
        <w:pStyle w:val="51"/>
        <w:ind w:firstLine="0" w:firstLineChars="0"/>
      </w:pPr>
      <w:r>
        <w:br w:type="page"/>
      </w:r>
    </w:p>
    <w:p>
      <w:pPr>
        <w:pStyle w:val="60"/>
        <w:numPr>
          <w:ilvl w:val="0"/>
          <w:numId w:val="0"/>
        </w:numPr>
        <w:rPr>
          <w:rFonts w:ascii="宋体" w:hAnsi="宋体" w:eastAsia="宋体" w:cs="宋体"/>
          <w:szCs w:val="21"/>
        </w:rPr>
      </w:pPr>
      <w:r>
        <w:rPr>
          <w:rFonts w:hint="eastAsia"/>
        </w:rPr>
        <w:t>表</w:t>
      </w:r>
      <w:r>
        <w:t>A</w:t>
      </w:r>
      <w:r>
        <w:rPr>
          <w:rFonts w:hint="eastAsia"/>
        </w:rPr>
        <w:t>.1  运动促进健康中心分级建设内容</w:t>
      </w:r>
      <w:r>
        <w:rPr>
          <w:rFonts w:hint="eastAsia" w:ascii="宋体" w:hAnsi="宋体" w:eastAsia="宋体" w:cs="宋体"/>
          <w:szCs w:val="21"/>
        </w:rPr>
        <w:t>（续）</w:t>
      </w:r>
    </w:p>
    <w:tbl>
      <w:tblPr>
        <w:tblStyle w:val="21"/>
        <w:tblW w:w="14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3"/>
        <w:gridCol w:w="1063"/>
        <w:gridCol w:w="1436"/>
        <w:gridCol w:w="8222"/>
        <w:gridCol w:w="1134"/>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2" w:type="dxa"/>
            <w:gridSpan w:val="3"/>
            <w:tcBorders>
              <w:top w:val="single" w:color="000000" w:sz="12" w:space="0"/>
              <w:left w:val="single" w:color="000000" w:sz="12" w:space="0"/>
              <w:bottom w:val="single" w:color="auto" w:sz="12" w:space="0"/>
              <w:right w:val="single" w:color="000000" w:sz="4" w:space="0"/>
              <w:tl2br w:val="nil"/>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项目</w:t>
            </w:r>
          </w:p>
        </w:tc>
        <w:tc>
          <w:tcPr>
            <w:tcW w:w="8222" w:type="dxa"/>
            <w:tcBorders>
              <w:top w:val="single" w:color="000000" w:sz="12" w:space="0"/>
              <w:left w:val="single" w:color="000000" w:sz="4" w:space="0"/>
              <w:bottom w:val="single" w:color="auto"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建设内容</w:t>
            </w:r>
          </w:p>
        </w:tc>
        <w:tc>
          <w:tcPr>
            <w:tcW w:w="1134" w:type="dxa"/>
            <w:tcBorders>
              <w:top w:val="single" w:color="000000" w:sz="12" w:space="0"/>
              <w:left w:val="single" w:color="000000" w:sz="4" w:space="0"/>
              <w:bottom w:val="single" w:color="auto" w:sz="12"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必备条件</w:t>
            </w:r>
          </w:p>
        </w:tc>
        <w:tc>
          <w:tcPr>
            <w:tcW w:w="935" w:type="dxa"/>
            <w:tcBorders>
              <w:top w:val="single" w:color="000000" w:sz="12" w:space="0"/>
              <w:left w:val="single" w:color="auto" w:sz="4" w:space="0"/>
              <w:bottom w:val="single" w:color="auto" w:sz="12"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打分栏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3" w:type="dxa"/>
            <w:vMerge w:val="restart"/>
            <w:tcBorders>
              <w:top w:val="single" w:color="auto" w:sz="12" w:space="0"/>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3软硬件设备以及器材配置</w:t>
            </w:r>
          </w:p>
        </w:tc>
        <w:tc>
          <w:tcPr>
            <w:tcW w:w="2499" w:type="dxa"/>
            <w:gridSpan w:val="2"/>
            <w:vMerge w:val="restart"/>
            <w:tcBorders>
              <w:top w:val="single" w:color="auto" w:sz="12" w:space="0"/>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3.4运动健康服务区</w:t>
            </w:r>
          </w:p>
        </w:tc>
        <w:tc>
          <w:tcPr>
            <w:tcW w:w="8222" w:type="dxa"/>
            <w:tcBorders>
              <w:top w:val="single" w:color="auto" w:sz="12"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二级：配备以下至少3类设备：</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有氧心肺耐力提升设备，如跑步机、划船机、立式或卧式健身车、功率自行车等；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抗阻训练设备，如史密斯机、哑铃、杠铃等；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平衡、柔韧、灵敏、协调等功能训练器材，如瑜伽垫、平衡球、平衡板、拉伸带等；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能够提供运动心电监测、呼吸监测等服务，能够设定运动负荷、规避运动风险等设备；</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配备伸展和放松设备，如伸展机、按摩椅等。</w:t>
            </w:r>
          </w:p>
        </w:tc>
        <w:tc>
          <w:tcPr>
            <w:tcW w:w="1134" w:type="dxa"/>
            <w:tcBorders>
              <w:top w:val="single" w:color="auto" w:sz="12"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35" w:type="dxa"/>
            <w:tcBorders>
              <w:top w:val="single" w:color="auto" w:sz="12"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3"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2499" w:type="dxa"/>
            <w:gridSpan w:val="2"/>
            <w:vMerge w:val="continue"/>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sz w:val="18"/>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三级：配备以下至少2类设备：</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有氧心肺耐力提升设备，如跑步机、划船机、立式或卧式健身车、功率自行车等；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抗阻训练设备，如史密斯机、哑铃、杠铃等；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平衡、柔韧、灵敏、协调等功能训练器材，如瑜伽垫、平衡球、平衡板、拉伸带等；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能够提供运动心电监测、呼吸监测等服务，能够设定运动负荷、规避运动风险等设备；</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配备伸展和放松设备，如伸展机、按摩椅等。</w:t>
            </w:r>
          </w:p>
        </w:tc>
        <w:tc>
          <w:tcPr>
            <w:tcW w:w="1134"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935"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3"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063" w:type="dxa"/>
            <w:vMerge w:val="restart"/>
            <w:tcBorders>
              <w:top w:val="single" w:color="000000" w:sz="4" w:space="0"/>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3.5拓展功能区</w:t>
            </w:r>
          </w:p>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（25分）</w:t>
            </w:r>
          </w:p>
        </w:tc>
        <w:tc>
          <w:tcPr>
            <w:tcW w:w="1436" w:type="dxa"/>
            <w:tcBorders>
              <w:top w:val="single" w:color="000000" w:sz="4" w:space="0"/>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3.5.1老年健康服务区</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（5分）</w:t>
            </w: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配备适老化健身设备：</w:t>
            </w:r>
          </w:p>
          <w:p>
            <w:pPr>
              <w:pStyle w:val="67"/>
              <w:widowControl w:val="0"/>
              <w:ind w:firstLine="0" w:firstLineChars="0"/>
              <w:rPr>
                <w:rFonts w:asciiTheme="minorEastAsia" w:hAnsiTheme="minorEastAsia" w:eastAsiaTheme="minorEastAsia"/>
                <w:sz w:val="18"/>
                <w:szCs w:val="18"/>
              </w:rPr>
            </w:pPr>
            <w:r>
              <w:rPr>
                <w:rFonts w:hint="eastAsia" w:asciiTheme="minorEastAsia" w:hAnsiTheme="minorEastAsia" w:eastAsiaTheme="minorEastAsia"/>
                <w:sz w:val="18"/>
                <w:szCs w:val="18"/>
              </w:rPr>
              <w:t>有氧锻炼设备：适老化跑步机、卧式健身车、全身有氧健身车、椭圆车等；</w:t>
            </w:r>
          </w:p>
          <w:p>
            <w:pPr>
              <w:pStyle w:val="67"/>
              <w:widowControl w:val="0"/>
              <w:ind w:firstLine="0" w:firstLineChars="0"/>
              <w:rPr>
                <w:rFonts w:asciiTheme="minorEastAsia" w:hAnsiTheme="minorEastAsia" w:eastAsiaTheme="minorEastAsia"/>
                <w:sz w:val="18"/>
                <w:szCs w:val="18"/>
              </w:rPr>
            </w:pPr>
            <w:r>
              <w:rPr>
                <w:rFonts w:hint="eastAsia" w:asciiTheme="minorEastAsia" w:hAnsiTheme="minorEastAsia" w:eastAsiaTheme="minorEastAsia"/>
                <w:sz w:val="18"/>
                <w:szCs w:val="18"/>
              </w:rPr>
              <w:t>力量训练设备：等速肌力训练设备、多功能训练架和坐拉器等；</w:t>
            </w:r>
          </w:p>
          <w:p>
            <w:pPr>
              <w:pStyle w:val="67"/>
              <w:widowControl w:val="0"/>
              <w:ind w:firstLine="0" w:firstLineChars="0"/>
              <w:rPr>
                <w:rFonts w:asciiTheme="minorEastAsia" w:hAnsiTheme="minorEastAsia" w:eastAsiaTheme="minorEastAsia"/>
                <w:sz w:val="18"/>
                <w:szCs w:val="18"/>
              </w:rPr>
            </w:pPr>
            <w:r>
              <w:rPr>
                <w:rFonts w:hint="eastAsia" w:asciiTheme="minorEastAsia" w:hAnsiTheme="minorEastAsia" w:eastAsiaTheme="minorEastAsia"/>
                <w:sz w:val="18"/>
                <w:szCs w:val="18"/>
              </w:rPr>
              <w:t>柔韧性与平衡训练设备：推手器、垂直律动沙发、平衡球、瑜伽垫等；</w:t>
            </w:r>
          </w:p>
          <w:p>
            <w:pPr>
              <w:pStyle w:val="67"/>
              <w:widowControl w:val="0"/>
              <w:ind w:firstLine="0" w:firstLineChars="0"/>
              <w:rPr>
                <w:rFonts w:asciiTheme="minorEastAsia" w:hAnsiTheme="minorEastAsia" w:eastAsiaTheme="minorEastAsia"/>
                <w:sz w:val="18"/>
                <w:szCs w:val="18"/>
              </w:rPr>
            </w:pPr>
            <w:r>
              <w:rPr>
                <w:rFonts w:hint="eastAsia" w:asciiTheme="minorEastAsia" w:hAnsiTheme="minorEastAsia" w:eastAsiaTheme="minorEastAsia"/>
                <w:sz w:val="18"/>
                <w:szCs w:val="18"/>
              </w:rPr>
              <w:t>功能训练设备：药球、阶梯等；</w:t>
            </w:r>
          </w:p>
          <w:p>
            <w:pPr>
              <w:pStyle w:val="67"/>
              <w:widowControl w:val="0"/>
              <w:ind w:firstLine="0" w:firstLineChars="0"/>
              <w:rPr>
                <w:rFonts w:asciiTheme="minorEastAsia" w:hAnsiTheme="minorEastAsia" w:eastAsiaTheme="minorEastAsia"/>
                <w:sz w:val="18"/>
                <w:szCs w:val="18"/>
              </w:rPr>
            </w:pPr>
            <w:r>
              <w:rPr>
                <w:rFonts w:hint="eastAsia" w:asciiTheme="minorEastAsia" w:hAnsiTheme="minorEastAsia" w:eastAsiaTheme="minorEastAsia"/>
                <w:sz w:val="18"/>
                <w:szCs w:val="18"/>
              </w:rPr>
              <w:t>辅助康复设备：步行器、拐杖、按摩椅等；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（有门牌，配备了设备任意一项得1分，上限为5分）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935"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3"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063" w:type="dxa"/>
            <w:vMerge w:val="continue"/>
            <w:tcBorders>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436" w:type="dxa"/>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3.5.2慢性病干预区（5分）</w:t>
            </w: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配备运动康复训练器材设备，包括功率自行车、健身走步机等。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（有门牌，配备了设备任意一项得1分，上限为5分）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935"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3" w:type="dxa"/>
            <w:vMerge w:val="continue"/>
            <w:tcBorders>
              <w:left w:val="single" w:color="000000" w:sz="12"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063" w:type="dxa"/>
            <w:vMerge w:val="continue"/>
            <w:tcBorders>
              <w:left w:val="single" w:color="000000" w:sz="4"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436" w:type="dxa"/>
            <w:tcBorders>
              <w:left w:val="single" w:color="000000" w:sz="4"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3.5.3功能康复区（5分）</w:t>
            </w:r>
          </w:p>
        </w:tc>
        <w:tc>
          <w:tcPr>
            <w:tcW w:w="8222" w:type="dxa"/>
            <w:tcBorders>
              <w:top w:val="single" w:color="000000" w:sz="4" w:space="0"/>
              <w:left w:val="single" w:color="000000" w:sz="4" w:space="0"/>
              <w:bottom w:val="single" w:color="000000" w:sz="12"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配备功能康复器材，包括超声波治疗仪、低频电治疗仪、干扰电治疗仪、超短波治疗仪、空气波压力治疗仪，红外线治疗仪等。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（有门牌，配备了设备任意一项得1分，上限为5分）</w:t>
            </w:r>
          </w:p>
        </w:tc>
        <w:tc>
          <w:tcPr>
            <w:tcW w:w="1134" w:type="dxa"/>
            <w:tcBorders>
              <w:top w:val="single" w:color="000000" w:sz="4" w:space="0"/>
              <w:left w:val="single" w:color="000000" w:sz="4" w:space="0"/>
              <w:bottom w:val="single" w:color="000000" w:sz="12"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935" w:type="dxa"/>
            <w:tcBorders>
              <w:top w:val="single" w:color="000000" w:sz="4" w:space="0"/>
              <w:left w:val="single" w:color="auto" w:sz="4" w:space="0"/>
              <w:bottom w:val="single" w:color="000000" w:sz="12"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bl>
    <w:p>
      <w:pPr>
        <w:pStyle w:val="51"/>
        <w:ind w:firstLine="0" w:firstLineChars="0"/>
      </w:pPr>
      <w:r>
        <w:br w:type="page"/>
      </w:r>
    </w:p>
    <w:p>
      <w:pPr>
        <w:pStyle w:val="60"/>
        <w:numPr>
          <w:ilvl w:val="0"/>
          <w:numId w:val="0"/>
        </w:numPr>
        <w:rPr>
          <w:rFonts w:ascii="宋体" w:hAnsi="宋体" w:eastAsia="宋体" w:cs="宋体"/>
          <w:szCs w:val="21"/>
        </w:rPr>
      </w:pPr>
      <w:r>
        <w:rPr>
          <w:rFonts w:hint="eastAsia"/>
        </w:rPr>
        <w:t>表</w:t>
      </w:r>
      <w:r>
        <w:t>A</w:t>
      </w:r>
      <w:r>
        <w:rPr>
          <w:rFonts w:hint="eastAsia"/>
        </w:rPr>
        <w:t>.1  运动促进健康中心分级建设内容</w:t>
      </w:r>
      <w:r>
        <w:rPr>
          <w:rFonts w:hint="eastAsia" w:ascii="宋体" w:hAnsi="宋体" w:eastAsia="宋体" w:cs="宋体"/>
          <w:szCs w:val="21"/>
        </w:rPr>
        <w:t>（续）</w:t>
      </w:r>
    </w:p>
    <w:tbl>
      <w:tblPr>
        <w:tblStyle w:val="21"/>
        <w:tblW w:w="14316"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1063"/>
        <w:gridCol w:w="1791"/>
        <w:gridCol w:w="7796"/>
        <w:gridCol w:w="1134"/>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9" w:type="dxa"/>
            <w:gridSpan w:val="3"/>
            <w:tcBorders>
              <w:top w:val="single" w:color="000000" w:sz="12" w:space="0"/>
              <w:left w:val="single" w:color="000000" w:sz="12" w:space="0"/>
              <w:bottom w:val="single" w:color="auto" w:sz="12" w:space="0"/>
              <w:right w:val="single" w:color="000000" w:sz="4" w:space="0"/>
              <w:tl2br w:val="nil"/>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项目</w:t>
            </w:r>
          </w:p>
        </w:tc>
        <w:tc>
          <w:tcPr>
            <w:tcW w:w="7796" w:type="dxa"/>
            <w:tcBorders>
              <w:top w:val="single" w:color="000000" w:sz="12" w:space="0"/>
              <w:left w:val="single" w:color="000000" w:sz="4" w:space="0"/>
              <w:bottom w:val="single" w:color="auto"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建设内容</w:t>
            </w:r>
          </w:p>
        </w:tc>
        <w:tc>
          <w:tcPr>
            <w:tcW w:w="1134" w:type="dxa"/>
            <w:tcBorders>
              <w:top w:val="single" w:color="000000" w:sz="12" w:space="0"/>
              <w:left w:val="single" w:color="000000" w:sz="4" w:space="0"/>
              <w:bottom w:val="single" w:color="auto" w:sz="12"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必备条件</w:t>
            </w:r>
          </w:p>
        </w:tc>
        <w:tc>
          <w:tcPr>
            <w:tcW w:w="1257" w:type="dxa"/>
            <w:tcBorders>
              <w:top w:val="single" w:color="000000" w:sz="12" w:space="0"/>
              <w:left w:val="single" w:color="auto" w:sz="4" w:space="0"/>
              <w:bottom w:val="single" w:color="auto" w:sz="12"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打分栏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restart"/>
            <w:tcBorders>
              <w:top w:val="single" w:color="auto" w:sz="12" w:space="0"/>
              <w:left w:val="single" w:color="000000" w:sz="12"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3软硬件设备以及器材配置</w:t>
            </w:r>
          </w:p>
        </w:tc>
        <w:tc>
          <w:tcPr>
            <w:tcW w:w="1063" w:type="dxa"/>
            <w:vMerge w:val="restart"/>
            <w:tcBorders>
              <w:top w:val="single" w:color="auto" w:sz="12" w:space="0"/>
              <w:left w:val="single" w:color="000000"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3.5拓展功能区</w:t>
            </w:r>
          </w:p>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（25分）</w:t>
            </w:r>
          </w:p>
        </w:tc>
        <w:tc>
          <w:tcPr>
            <w:tcW w:w="1791" w:type="dxa"/>
            <w:tcBorders>
              <w:top w:val="single" w:color="auto" w:sz="12" w:space="0"/>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3.5.4家庭互动区</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（5分）</w:t>
            </w:r>
          </w:p>
        </w:tc>
        <w:tc>
          <w:tcPr>
            <w:tcW w:w="7796" w:type="dxa"/>
            <w:tcBorders>
              <w:top w:val="single" w:color="auto" w:sz="12"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配备智能显示屏，搭载远程互联技术。配置跑步机，哑铃架，瑜伽垫等运动设备及用品。</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（有门牌，配备了设备任意一项得1分，上限为5分）</w:t>
            </w:r>
          </w:p>
        </w:tc>
        <w:tc>
          <w:tcPr>
            <w:tcW w:w="1134" w:type="dxa"/>
            <w:tcBorders>
              <w:top w:val="single" w:color="auto" w:sz="12"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1257" w:type="dxa"/>
            <w:tcBorders>
              <w:top w:val="single" w:color="auto" w:sz="12"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continue"/>
            <w:tcBorders>
              <w:left w:val="single" w:color="000000" w:sz="12"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063" w:type="dxa"/>
            <w:vMerge w:val="continue"/>
            <w:tcBorders>
              <w:left w:val="single" w:color="000000" w:sz="4" w:space="0"/>
              <w:bottom w:val="single" w:color="auto" w:sz="4"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sz w:val="18"/>
                <w:szCs w:val="18"/>
              </w:rPr>
            </w:pPr>
          </w:p>
        </w:tc>
        <w:tc>
          <w:tcPr>
            <w:tcW w:w="1791" w:type="dxa"/>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3.5.5综合服务区</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（5分）</w:t>
            </w:r>
          </w:p>
        </w:tc>
        <w:tc>
          <w:tcPr>
            <w:tcW w:w="7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配备饮水设备、休息座椅以及便民物品等。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（有门牌，配备了设备任意一项得1分，上限为5分）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1257"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5" w:type="dxa"/>
            <w:vMerge w:val="continue"/>
            <w:tcBorders>
              <w:left w:val="single" w:color="000000" w:sz="12"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063" w:type="dxa"/>
            <w:vMerge w:val="restart"/>
            <w:tcBorders>
              <w:top w:val="single" w:color="auto" w:sz="4" w:space="0"/>
              <w:left w:val="single" w:color="000000" w:sz="4" w:space="0"/>
              <w:bottom w:val="single" w:color="000000" w:sz="12"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3.6辅助功能区</w:t>
            </w:r>
          </w:p>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sz w:val="18"/>
                <w:szCs w:val="18"/>
              </w:rPr>
              <w:t>（24分）</w:t>
            </w:r>
          </w:p>
        </w:tc>
        <w:tc>
          <w:tcPr>
            <w:tcW w:w="1791" w:type="dxa"/>
            <w:tcBorders>
              <w:top w:val="single" w:color="000000" w:sz="4" w:space="0"/>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3.6.1前台接待区</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（3分）</w:t>
            </w:r>
          </w:p>
        </w:tc>
        <w:tc>
          <w:tcPr>
            <w:tcW w:w="7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配备相应的休息桌椅，有电视、智能显示屏、展板、报刊、饮用水设备等。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（有门牌，配备了设备任意一项得1分，上限为3分）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1257"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continue"/>
            <w:tcBorders>
              <w:left w:val="single" w:color="000000" w:sz="12"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063" w:type="dxa"/>
            <w:vMerge w:val="continue"/>
            <w:tcBorders>
              <w:left w:val="single" w:color="000000" w:sz="4"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791" w:type="dxa"/>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3.6.2办公区</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（3分）</w:t>
            </w:r>
          </w:p>
        </w:tc>
        <w:tc>
          <w:tcPr>
            <w:tcW w:w="7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配备桌椅、电脑、打印机和其他办公用品。</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（有门牌，配备了设备任意一项得1分，上限为3分）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1257"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continue"/>
            <w:tcBorders>
              <w:left w:val="single" w:color="000000" w:sz="12"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063" w:type="dxa"/>
            <w:vMerge w:val="continue"/>
            <w:tcBorders>
              <w:left w:val="single" w:color="000000" w:sz="4"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791" w:type="dxa"/>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3.6.3更衣室</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（3分）</w:t>
            </w:r>
          </w:p>
        </w:tc>
        <w:tc>
          <w:tcPr>
            <w:tcW w:w="7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男女分设，设储物柜，有隔断措施。</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（有门牌，配备了设备任意一项得1分，上限为3分）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1257"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continue"/>
            <w:tcBorders>
              <w:left w:val="single" w:color="000000" w:sz="12"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063" w:type="dxa"/>
            <w:vMerge w:val="continue"/>
            <w:tcBorders>
              <w:left w:val="single" w:color="000000" w:sz="4"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791" w:type="dxa"/>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3.6.4卫生间</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（3分）</w:t>
            </w:r>
          </w:p>
        </w:tc>
        <w:tc>
          <w:tcPr>
            <w:tcW w:w="7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男女分设，无障碍设计，至少配备坐便器，设有洗手池、镜面、垃圾篮、消毒及净手设施等。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（有门牌，配备了设备任意一项得1分，上限为3分）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1257"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5" w:type="dxa"/>
            <w:vMerge w:val="continue"/>
            <w:tcBorders>
              <w:left w:val="single" w:color="000000" w:sz="12"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063" w:type="dxa"/>
            <w:vMerge w:val="continue"/>
            <w:tcBorders>
              <w:left w:val="single" w:color="000000" w:sz="4"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791" w:type="dxa"/>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3.6.5淋浴室</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（3分）</w:t>
            </w:r>
          </w:p>
        </w:tc>
        <w:tc>
          <w:tcPr>
            <w:tcW w:w="7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男女分设，配备淋浴水龙头，设有洗手池、镜面等。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（有门牌，配备了设备任意一项得1分，上限为3分）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1257"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continue"/>
            <w:tcBorders>
              <w:left w:val="single" w:color="000000" w:sz="12"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063" w:type="dxa"/>
            <w:vMerge w:val="continue"/>
            <w:tcBorders>
              <w:left w:val="single" w:color="000000" w:sz="4"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791" w:type="dxa"/>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3.6.6培训室</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（3分）</w:t>
            </w:r>
          </w:p>
        </w:tc>
        <w:tc>
          <w:tcPr>
            <w:tcW w:w="7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配备桌椅；考虑使用可移动的隔板或屏风，以便在需要时分隔空间。配备投影仪、幕布或白板、网络连接设备、电源插座和扩音设备等。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（有门牌，配备了设备任意一项得1分，上限为3分）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1257"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continue"/>
            <w:tcBorders>
              <w:left w:val="single" w:color="000000" w:sz="12"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063" w:type="dxa"/>
            <w:vMerge w:val="continue"/>
            <w:tcBorders>
              <w:left w:val="single" w:color="000000" w:sz="4"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791" w:type="dxa"/>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3.6.7会议室</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（3分）</w:t>
            </w:r>
          </w:p>
        </w:tc>
        <w:tc>
          <w:tcPr>
            <w:tcW w:w="77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配备桌椅，配备投影仪、幕布或白板、网络连接设备、电源插座和扩音设备等。</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（有门牌，配备了设备任意一项得1分，上限为3分）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1257"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continue"/>
            <w:tcBorders>
              <w:left w:val="single" w:color="000000" w:sz="12"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063" w:type="dxa"/>
            <w:vMerge w:val="continue"/>
            <w:tcBorders>
              <w:left w:val="single" w:color="000000" w:sz="4" w:space="0"/>
              <w:bottom w:val="single" w:color="000000" w:sz="12" w:space="0"/>
              <w:right w:val="single" w:color="000000"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c>
          <w:tcPr>
            <w:tcW w:w="1791" w:type="dxa"/>
            <w:tcBorders>
              <w:left w:val="single" w:color="000000" w:sz="4" w:space="0"/>
              <w:bottom w:val="single" w:color="000000" w:sz="12"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3.6.8其他功能室</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（3分）</w:t>
            </w:r>
          </w:p>
        </w:tc>
        <w:tc>
          <w:tcPr>
            <w:tcW w:w="7796" w:type="dxa"/>
            <w:tcBorders>
              <w:top w:val="single" w:color="000000" w:sz="4" w:space="0"/>
              <w:left w:val="single" w:color="000000" w:sz="4" w:space="0"/>
              <w:bottom w:val="single" w:color="000000" w:sz="12"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配备轮椅、拐杖等便民设备或运动促进健康中心其他所需设备。</w:t>
            </w:r>
          </w:p>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（有门牌，配备了设备任意一项得1分，上限为3分）</w:t>
            </w:r>
          </w:p>
        </w:tc>
        <w:tc>
          <w:tcPr>
            <w:tcW w:w="1134" w:type="dxa"/>
            <w:tcBorders>
              <w:top w:val="single" w:color="000000" w:sz="4" w:space="0"/>
              <w:left w:val="single" w:color="000000" w:sz="4" w:space="0"/>
              <w:bottom w:val="single" w:color="000000" w:sz="12" w:space="0"/>
              <w:right w:val="single" w:color="auto" w:sz="4"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w:t>
            </w:r>
          </w:p>
        </w:tc>
        <w:tc>
          <w:tcPr>
            <w:tcW w:w="1257" w:type="dxa"/>
            <w:tcBorders>
              <w:top w:val="single" w:color="000000" w:sz="4" w:space="0"/>
              <w:left w:val="single" w:color="auto" w:sz="4" w:space="0"/>
              <w:bottom w:val="single" w:color="000000" w:sz="12" w:space="0"/>
              <w:right w:val="single" w:color="000000" w:sz="12" w:space="0"/>
            </w:tcBorders>
            <w:shd w:val="clear" w:color="auto" w:fill="FFFFFF"/>
            <w:vAlign w:val="center"/>
          </w:tcPr>
          <w:p>
            <w:pPr>
              <w:pStyle w:val="51"/>
              <w:widowControl w:val="0"/>
              <w:ind w:firstLine="0" w:firstLineChars="0"/>
              <w:jc w:val="center"/>
              <w:rPr>
                <w:rFonts w:asciiTheme="minorEastAsia" w:hAnsiTheme="minorEastAsia" w:eastAsiaTheme="minorEastAsia"/>
                <w:color w:val="000000"/>
                <w:sz w:val="18"/>
                <w:szCs w:val="18"/>
              </w:rPr>
            </w:pPr>
          </w:p>
        </w:tc>
      </w:tr>
    </w:tbl>
    <w:p>
      <w:pPr>
        <w:pStyle w:val="67"/>
        <w:ind w:firstLineChars="0"/>
      </w:pPr>
      <w:r>
        <w:br w:type="page"/>
      </w:r>
    </w:p>
    <w:p>
      <w:pPr>
        <w:pStyle w:val="60"/>
        <w:numPr>
          <w:ilvl w:val="0"/>
          <w:numId w:val="0"/>
        </w:numPr>
        <w:rPr>
          <w:rFonts w:ascii="宋体" w:hAnsi="宋体" w:eastAsia="宋体" w:cs="宋体"/>
          <w:szCs w:val="21"/>
        </w:rPr>
      </w:pPr>
      <w:r>
        <w:rPr>
          <w:rFonts w:hint="eastAsia"/>
        </w:rPr>
        <w:t>表</w:t>
      </w:r>
      <w:r>
        <w:t>A</w:t>
      </w:r>
      <w:r>
        <w:rPr>
          <w:rFonts w:hint="eastAsia"/>
        </w:rPr>
        <w:t>.1  运动促进健康中心分级建设内容</w:t>
      </w:r>
      <w:r>
        <w:rPr>
          <w:rFonts w:hint="eastAsia" w:ascii="宋体" w:hAnsi="宋体" w:eastAsia="宋体" w:cs="宋体"/>
          <w:szCs w:val="21"/>
        </w:rPr>
        <w:t>（续）</w:t>
      </w:r>
    </w:p>
    <w:tbl>
      <w:tblPr>
        <w:tblStyle w:val="21"/>
        <w:tblW w:w="14316"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2126"/>
        <w:gridCol w:w="7815"/>
        <w:gridCol w:w="139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1" w:type="dxa"/>
            <w:gridSpan w:val="2"/>
            <w:tcBorders>
              <w:top w:val="single" w:color="000000" w:sz="12" w:space="0"/>
              <w:left w:val="single" w:color="000000" w:sz="12" w:space="0"/>
              <w:bottom w:val="single" w:color="auto" w:sz="12" w:space="0"/>
              <w:right w:val="single" w:color="000000" w:sz="4" w:space="0"/>
              <w:tl2br w:val="nil"/>
            </w:tcBorders>
            <w:shd w:val="clear" w:color="auto" w:fill="FFFFFF"/>
          </w:tcPr>
          <w:p>
            <w:pPr>
              <w:pStyle w:val="51"/>
              <w:widowControl w:val="0"/>
              <w:ind w:firstLine="0" w:firstLineChars="0"/>
              <w:jc w:val="center"/>
              <w:rPr>
                <w:color w:val="000000"/>
                <w:sz w:val="18"/>
                <w:szCs w:val="18"/>
              </w:rPr>
            </w:pPr>
            <w:r>
              <w:rPr>
                <w:rFonts w:hint="eastAsia"/>
                <w:color w:val="000000"/>
                <w:sz w:val="18"/>
                <w:szCs w:val="18"/>
              </w:rPr>
              <w:t>项目</w:t>
            </w:r>
          </w:p>
        </w:tc>
        <w:tc>
          <w:tcPr>
            <w:tcW w:w="7815" w:type="dxa"/>
            <w:tcBorders>
              <w:top w:val="single" w:color="000000" w:sz="12" w:space="0"/>
              <w:left w:val="single" w:color="000000" w:sz="4" w:space="0"/>
              <w:bottom w:val="single" w:color="auto" w:sz="12" w:space="0"/>
              <w:right w:val="single" w:color="000000" w:sz="4" w:space="0"/>
            </w:tcBorders>
            <w:shd w:val="clear" w:color="auto" w:fill="FFFFFF"/>
          </w:tcPr>
          <w:p>
            <w:pPr>
              <w:pStyle w:val="51"/>
              <w:widowControl w:val="0"/>
              <w:ind w:firstLine="0" w:firstLineChars="0"/>
              <w:jc w:val="center"/>
              <w:rPr>
                <w:color w:val="000000"/>
                <w:sz w:val="18"/>
                <w:szCs w:val="18"/>
              </w:rPr>
            </w:pPr>
            <w:r>
              <w:rPr>
                <w:rFonts w:hint="eastAsia"/>
                <w:color w:val="000000"/>
                <w:sz w:val="18"/>
                <w:szCs w:val="18"/>
              </w:rPr>
              <w:t>建设内容</w:t>
            </w:r>
          </w:p>
        </w:tc>
        <w:tc>
          <w:tcPr>
            <w:tcW w:w="1399" w:type="dxa"/>
            <w:tcBorders>
              <w:top w:val="single" w:color="000000" w:sz="12" w:space="0"/>
              <w:left w:val="single" w:color="000000" w:sz="4" w:space="0"/>
              <w:bottom w:val="single" w:color="auto" w:sz="12" w:space="0"/>
              <w:right w:val="single" w:color="auto" w:sz="4" w:space="0"/>
            </w:tcBorders>
            <w:shd w:val="clear" w:color="auto" w:fill="FFFFFF"/>
          </w:tcPr>
          <w:p>
            <w:pPr>
              <w:pStyle w:val="51"/>
              <w:widowControl w:val="0"/>
              <w:ind w:firstLine="0" w:firstLineChars="0"/>
              <w:jc w:val="center"/>
              <w:rPr>
                <w:color w:val="000000"/>
                <w:sz w:val="18"/>
                <w:szCs w:val="18"/>
              </w:rPr>
            </w:pPr>
            <w:r>
              <w:rPr>
                <w:rFonts w:hint="eastAsia"/>
                <w:color w:val="000000"/>
                <w:sz w:val="18"/>
                <w:szCs w:val="18"/>
              </w:rPr>
              <w:t>必备条件</w:t>
            </w:r>
          </w:p>
        </w:tc>
        <w:tc>
          <w:tcPr>
            <w:tcW w:w="1701" w:type="dxa"/>
            <w:tcBorders>
              <w:top w:val="single" w:color="000000" w:sz="12" w:space="0"/>
              <w:left w:val="single" w:color="auto" w:sz="4" w:space="0"/>
              <w:bottom w:val="single" w:color="auto" w:sz="12" w:space="0"/>
              <w:right w:val="single" w:color="000000" w:sz="12" w:space="0"/>
            </w:tcBorders>
            <w:shd w:val="clear" w:color="auto" w:fill="FFFFFF"/>
          </w:tcPr>
          <w:p>
            <w:pPr>
              <w:pStyle w:val="51"/>
              <w:widowControl w:val="0"/>
              <w:ind w:firstLine="0" w:firstLineChars="0"/>
              <w:jc w:val="center"/>
              <w:rPr>
                <w:color w:val="000000"/>
                <w:sz w:val="18"/>
                <w:szCs w:val="18"/>
              </w:rPr>
            </w:pPr>
            <w:r>
              <w:rPr>
                <w:rFonts w:hint="eastAsia"/>
                <w:color w:val="000000"/>
                <w:sz w:val="18"/>
                <w:szCs w:val="18"/>
              </w:rPr>
              <w:t>打分栏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restart"/>
            <w:tcBorders>
              <w:top w:val="single" w:color="auto" w:sz="4" w:space="0"/>
              <w:left w:val="single" w:color="000000" w:sz="12" w:space="0"/>
              <w:right w:val="single" w:color="000000" w:sz="4" w:space="0"/>
            </w:tcBorders>
            <w:shd w:val="clear" w:color="auto" w:fill="FFFFFF"/>
            <w:vAlign w:val="center"/>
          </w:tcPr>
          <w:p>
            <w:pPr>
              <w:pStyle w:val="51"/>
              <w:widowControl w:val="0"/>
              <w:ind w:firstLine="0" w:firstLineChars="0"/>
              <w:jc w:val="center"/>
              <w:rPr>
                <w:color w:val="000000"/>
                <w:sz w:val="18"/>
                <w:szCs w:val="18"/>
              </w:rPr>
            </w:pPr>
            <w:r>
              <w:rPr>
                <w:rFonts w:hint="eastAsia"/>
                <w:color w:val="000000"/>
                <w:sz w:val="18"/>
                <w:szCs w:val="18"/>
              </w:rPr>
              <w:t>3软硬件设备以及器材配置</w:t>
            </w:r>
          </w:p>
        </w:tc>
        <w:tc>
          <w:tcPr>
            <w:tcW w:w="2126" w:type="dxa"/>
            <w:tcBorders>
              <w:top w:val="single" w:color="auto" w:sz="4" w:space="0"/>
              <w:left w:val="single" w:color="000000" w:sz="4" w:space="0"/>
              <w:right w:val="single" w:color="000000" w:sz="4" w:space="0"/>
            </w:tcBorders>
            <w:shd w:val="clear" w:color="auto" w:fill="FFFFFF"/>
            <w:vAlign w:val="center"/>
          </w:tcPr>
          <w:p>
            <w:pPr>
              <w:pStyle w:val="76"/>
              <w:widowControl w:val="0"/>
              <w:rPr>
                <w:szCs w:val="18"/>
              </w:rPr>
            </w:pPr>
            <w:r>
              <w:rPr>
                <w:rFonts w:hint="eastAsia"/>
                <w:szCs w:val="18"/>
              </w:rPr>
              <w:t>医用治疗类及急救设备</w:t>
            </w:r>
          </w:p>
          <w:p>
            <w:pPr>
              <w:pStyle w:val="76"/>
              <w:widowControl w:val="0"/>
              <w:rPr>
                <w:szCs w:val="18"/>
              </w:rPr>
            </w:pPr>
            <w:r>
              <w:rPr>
                <w:rFonts w:hint="eastAsia"/>
                <w:szCs w:val="18"/>
              </w:rPr>
              <w:t>（5分）</w:t>
            </w:r>
          </w:p>
        </w:tc>
        <w:tc>
          <w:tcPr>
            <w:tcW w:w="7815" w:type="dxa"/>
            <w:tcBorders>
              <w:top w:val="single" w:color="auto"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szCs w:val="18"/>
              </w:rPr>
            </w:pPr>
            <w:r>
              <w:rPr>
                <w:rFonts w:hint="eastAsia"/>
                <w:szCs w:val="18"/>
              </w:rPr>
              <w:t>配备包括心肺复苏及自动体外除颤器，中医治疗、物理治疗仪器和急救必备常规医疗设备等。</w:t>
            </w:r>
          </w:p>
          <w:p>
            <w:pPr>
              <w:pStyle w:val="76"/>
              <w:widowControl w:val="0"/>
              <w:jc w:val="both"/>
              <w:rPr>
                <w:szCs w:val="18"/>
              </w:rPr>
            </w:pPr>
            <w:r>
              <w:rPr>
                <w:rFonts w:hint="eastAsia"/>
                <w:szCs w:val="18"/>
              </w:rPr>
              <w:t>（配备了设备任意一项得1分，上限为5分。）</w:t>
            </w:r>
          </w:p>
        </w:tc>
        <w:tc>
          <w:tcPr>
            <w:tcW w:w="1399" w:type="dxa"/>
            <w:tcBorders>
              <w:top w:val="single" w:color="auto"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color w:val="000000"/>
                <w:sz w:val="18"/>
                <w:szCs w:val="18"/>
              </w:rPr>
            </w:pPr>
            <w:r>
              <w:rPr>
                <w:rFonts w:hint="eastAsia"/>
                <w:color w:val="000000"/>
                <w:sz w:val="18"/>
                <w:szCs w:val="18"/>
              </w:rPr>
              <w:t>-</w:t>
            </w:r>
          </w:p>
        </w:tc>
        <w:tc>
          <w:tcPr>
            <w:tcW w:w="1701" w:type="dxa"/>
            <w:tcBorders>
              <w:top w:val="single" w:color="auto"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continue"/>
            <w:tcBorders>
              <w:left w:val="single" w:color="000000" w:sz="12" w:space="0"/>
              <w:right w:val="single" w:color="000000" w:sz="4" w:space="0"/>
            </w:tcBorders>
            <w:shd w:val="clear" w:color="auto" w:fill="FFFFFF"/>
            <w:vAlign w:val="center"/>
          </w:tcPr>
          <w:p>
            <w:pPr>
              <w:pStyle w:val="51"/>
              <w:widowControl w:val="0"/>
              <w:ind w:firstLine="0" w:firstLineChars="0"/>
              <w:jc w:val="center"/>
              <w:rPr>
                <w:color w:val="000000"/>
                <w:sz w:val="18"/>
                <w:szCs w:val="18"/>
              </w:rPr>
            </w:pPr>
          </w:p>
        </w:tc>
        <w:tc>
          <w:tcPr>
            <w:tcW w:w="2126" w:type="dxa"/>
            <w:tcBorders>
              <w:left w:val="single" w:color="000000" w:sz="4" w:space="0"/>
              <w:right w:val="single" w:color="000000" w:sz="4" w:space="0"/>
            </w:tcBorders>
            <w:shd w:val="clear" w:color="auto" w:fill="FFFFFF"/>
            <w:vAlign w:val="center"/>
          </w:tcPr>
          <w:p>
            <w:pPr>
              <w:pStyle w:val="76"/>
              <w:widowControl w:val="0"/>
              <w:rPr>
                <w:szCs w:val="18"/>
              </w:rPr>
            </w:pPr>
            <w:r>
              <w:rPr>
                <w:rFonts w:hint="eastAsia"/>
                <w:szCs w:val="18"/>
              </w:rPr>
              <w:t>智能化健康教育设备</w:t>
            </w:r>
          </w:p>
          <w:p>
            <w:pPr>
              <w:pStyle w:val="51"/>
              <w:widowControl w:val="0"/>
              <w:ind w:firstLine="0" w:firstLineChars="0"/>
              <w:jc w:val="center"/>
              <w:rPr>
                <w:color w:val="000000"/>
                <w:sz w:val="18"/>
                <w:szCs w:val="18"/>
              </w:rPr>
            </w:pPr>
            <w:r>
              <w:rPr>
                <w:rFonts w:hint="eastAsia"/>
                <w:sz w:val="18"/>
                <w:szCs w:val="18"/>
              </w:rPr>
              <w:t>（5分）</w:t>
            </w:r>
          </w:p>
        </w:tc>
        <w:tc>
          <w:tcPr>
            <w:tcW w:w="7815" w:type="dxa"/>
            <w:tcBorders>
              <w:top w:val="single" w:color="000000" w:sz="4" w:space="0"/>
              <w:left w:val="single" w:color="000000" w:sz="4" w:space="0"/>
              <w:bottom w:val="single" w:color="000000" w:sz="4" w:space="0"/>
              <w:right w:val="single" w:color="000000" w:sz="4" w:space="0"/>
            </w:tcBorders>
            <w:shd w:val="clear" w:color="auto" w:fill="FFFFFF"/>
          </w:tcPr>
          <w:p>
            <w:pPr>
              <w:pStyle w:val="76"/>
              <w:widowControl w:val="0"/>
              <w:jc w:val="both"/>
              <w:rPr>
                <w:szCs w:val="18"/>
              </w:rPr>
            </w:pPr>
            <w:r>
              <w:rPr>
                <w:rFonts w:hint="eastAsia"/>
                <w:szCs w:val="18"/>
              </w:rPr>
              <w:t>具备网络健身康复、与教练同屏练习、骨架的人工智能识别与判定、运动数据上传统计等功能等。</w:t>
            </w:r>
          </w:p>
          <w:p>
            <w:pPr>
              <w:pStyle w:val="51"/>
              <w:widowControl w:val="0"/>
              <w:ind w:firstLine="0" w:firstLineChars="0"/>
              <w:rPr>
                <w:color w:val="000000"/>
                <w:sz w:val="18"/>
                <w:szCs w:val="18"/>
              </w:rPr>
            </w:pPr>
            <w:r>
              <w:rPr>
                <w:rFonts w:hint="eastAsia"/>
                <w:sz w:val="18"/>
                <w:szCs w:val="18"/>
              </w:rPr>
              <w:t>（实现相应功能任意一项得1分，上限为5分。）</w:t>
            </w:r>
          </w:p>
        </w:tc>
        <w:tc>
          <w:tcPr>
            <w:tcW w:w="1399"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widowControl w:val="0"/>
              <w:ind w:firstLine="0" w:firstLineChars="0"/>
              <w:jc w:val="center"/>
              <w:rPr>
                <w:color w:val="000000"/>
                <w:sz w:val="18"/>
                <w:szCs w:val="18"/>
              </w:rPr>
            </w:pPr>
            <w:r>
              <w:rPr>
                <w:rFonts w:hint="eastAsia"/>
                <w:color w:val="000000"/>
                <w:sz w:val="18"/>
                <w:szCs w:val="18"/>
              </w:rPr>
              <w:t>-</w:t>
            </w:r>
          </w:p>
        </w:tc>
        <w:tc>
          <w:tcPr>
            <w:tcW w:w="1701"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widowControl w:val="0"/>
              <w:ind w:firstLine="0" w:firstLineChars="0"/>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16" w:type="dxa"/>
            <w:gridSpan w:val="5"/>
            <w:tcBorders>
              <w:left w:val="single" w:color="000000" w:sz="12" w:space="0"/>
              <w:bottom w:val="single" w:color="000000" w:sz="12" w:space="0"/>
              <w:right w:val="single" w:color="000000" w:sz="12" w:space="0"/>
            </w:tcBorders>
            <w:shd w:val="clear" w:color="auto" w:fill="FFFFFF"/>
            <w:vAlign w:val="center"/>
          </w:tcPr>
          <w:p>
            <w:pPr>
              <w:pStyle w:val="51"/>
              <w:widowControl w:val="0"/>
              <w:ind w:firstLine="360"/>
              <w:rPr>
                <w:color w:val="000000"/>
                <w:sz w:val="18"/>
                <w:szCs w:val="18"/>
              </w:rPr>
            </w:pPr>
            <w:r>
              <w:rPr>
                <w:rFonts w:hint="eastAsia" w:ascii="黑体" w:hAnsi="黑体" w:eastAsia="黑体"/>
                <w:color w:val="000000"/>
                <w:sz w:val="18"/>
                <w:szCs w:val="18"/>
              </w:rPr>
              <w:t>注1</w:t>
            </w:r>
            <w:r>
              <w:rPr>
                <w:rFonts w:hint="eastAsia"/>
                <w:color w:val="000000"/>
                <w:sz w:val="18"/>
                <w:szCs w:val="18"/>
              </w:rPr>
              <w:t>：符合一级、二级和三级相应必备条</w:t>
            </w:r>
            <w:r>
              <w:rPr>
                <w:rFonts w:hint="eastAsia" w:asciiTheme="minorEastAsia" w:hAnsiTheme="minorEastAsia" w:eastAsiaTheme="minorEastAsia" w:cstheme="minorEastAsia"/>
                <w:color w:val="000000"/>
                <w:sz w:val="18"/>
                <w:szCs w:val="18"/>
              </w:rPr>
              <w:t>件的，在必备条件栏打“✓”；设置分值的为加分项，</w:t>
            </w:r>
            <w:r>
              <w:rPr>
                <w:rFonts w:hint="eastAsia"/>
                <w:color w:val="000000"/>
                <w:sz w:val="18"/>
                <w:szCs w:val="18"/>
              </w:rPr>
              <w:t>根据分值依据在打分栏填上分值；</w:t>
            </w:r>
          </w:p>
          <w:p>
            <w:pPr>
              <w:pStyle w:val="51"/>
              <w:widowControl w:val="0"/>
              <w:ind w:firstLine="360"/>
              <w:rPr>
                <w:color w:val="000000"/>
                <w:sz w:val="18"/>
                <w:szCs w:val="18"/>
              </w:rPr>
            </w:pPr>
            <w:r>
              <w:rPr>
                <w:rFonts w:hint="eastAsia" w:ascii="黑体" w:hAnsi="黑体" w:eastAsia="黑体"/>
                <w:color w:val="000000"/>
                <w:sz w:val="18"/>
                <w:szCs w:val="18"/>
              </w:rPr>
              <w:t>注2：</w:t>
            </w:r>
            <w:r>
              <w:rPr>
                <w:rFonts w:hint="eastAsia"/>
                <w:color w:val="000000"/>
                <w:sz w:val="18"/>
                <w:szCs w:val="18"/>
              </w:rPr>
              <w:t>必备条件符合一级的则默认符合二级和三级，必备条件最终符合的级别要求该级别必备条件任一项不得为空。</w:t>
            </w:r>
          </w:p>
        </w:tc>
      </w:tr>
    </w:tbl>
    <w:p>
      <w:pPr>
        <w:pStyle w:val="67"/>
        <w:ind w:firstLineChars="0"/>
      </w:pPr>
    </w:p>
    <w:p>
      <w:pPr>
        <w:pStyle w:val="67"/>
        <w:ind w:firstLineChars="0"/>
        <w:sectPr>
          <w:headerReference r:id="rId20" w:type="default"/>
          <w:footerReference r:id="rId22" w:type="default"/>
          <w:headerReference r:id="rId21" w:type="even"/>
          <w:footerReference r:id="rId23" w:type="even"/>
          <w:pgSz w:w="16838" w:h="11906" w:orient="landscape"/>
          <w:pgMar w:top="1417" w:right="1134" w:bottom="1134" w:left="1417" w:header="1417" w:footer="1134" w:gutter="0"/>
          <w:cols w:space="425" w:num="1"/>
          <w:docGrid w:type="lines" w:linePitch="312" w:charSpace="0"/>
        </w:sectPr>
      </w:pPr>
    </w:p>
    <w:p>
      <w:pPr>
        <w:pStyle w:val="75"/>
        <w:shd w:val="clear" w:color="FFFFFF" w:fill="FFFFFF"/>
        <w:spacing w:before="567" w:after="283" w:afterLines="0"/>
        <w:rPr>
          <w:rFonts w:hint="eastAsia"/>
          <w:spacing w:val="105"/>
          <w:lang w:val="en-US" w:eastAsia="zh-CN"/>
        </w:rPr>
      </w:pPr>
      <w:bookmarkStart w:id="220" w:name="_Toc16520"/>
      <w:r>
        <w:rPr>
          <w:rFonts w:hint="eastAsia"/>
          <w:spacing w:val="105"/>
          <w:lang w:val="en-US" w:eastAsia="zh-CN"/>
        </w:rPr>
        <w:t>参考文献</w:t>
      </w:r>
      <w:bookmarkEnd w:id="220"/>
    </w:p>
    <w:p>
      <w:pPr>
        <w:pStyle w:val="18"/>
        <w:numPr>
          <w:ilvl w:val="0"/>
          <w:numId w:val="14"/>
        </w:numPr>
        <w:autoSpaceDE w:val="0"/>
        <w:autoSpaceDN w:val="0"/>
        <w:spacing w:before="0" w:beforeAutospacing="0" w:after="0" w:afterAutospacing="0"/>
        <w:ind w:firstLine="420" w:firstLineChars="200"/>
        <w:jc w:val="both"/>
        <w:rPr>
          <w:sz w:val="21"/>
          <w:szCs w:val="21"/>
        </w:rPr>
      </w:pPr>
      <w:r>
        <w:rPr>
          <w:rFonts w:hint="eastAsia" w:hAnsi="Times New Roman" w:cs="Times New Roman"/>
          <w:sz w:val="21"/>
          <w:szCs w:val="21"/>
          <w:lang w:bidi="ar"/>
        </w:rPr>
        <w:t xml:space="preserve"> 《国民体质测定标准</w:t>
      </w:r>
      <w:r>
        <w:rPr>
          <w:rFonts w:hint="eastAsia" w:hAnsi="Times New Roman" w:cs="Times New Roman"/>
          <w:sz w:val="21"/>
          <w:szCs w:val="21"/>
          <w:lang w:eastAsia="zh-CN" w:bidi="ar"/>
        </w:rPr>
        <w:t>（</w:t>
      </w:r>
      <w:r>
        <w:rPr>
          <w:rFonts w:hint="eastAsia" w:hAnsi="Times New Roman" w:cs="Times New Roman"/>
          <w:sz w:val="21"/>
          <w:szCs w:val="21"/>
          <w:lang w:val="en-US" w:eastAsia="zh-CN" w:bidi="ar"/>
        </w:rPr>
        <w:t>2023年修订</w:t>
      </w:r>
      <w:r>
        <w:rPr>
          <w:rFonts w:hint="eastAsia" w:hAnsi="Times New Roman" w:cs="Times New Roman"/>
          <w:sz w:val="21"/>
          <w:szCs w:val="21"/>
          <w:lang w:eastAsia="zh-CN" w:bidi="ar"/>
        </w:rPr>
        <w:t>）</w:t>
      </w:r>
      <w:r>
        <w:rPr>
          <w:rFonts w:hint="eastAsia" w:hAnsi="Times New Roman" w:cs="Times New Roman"/>
          <w:sz w:val="21"/>
          <w:szCs w:val="21"/>
          <w:lang w:bidi="ar"/>
        </w:rPr>
        <w:t>》国家国民体质监测中心</w:t>
      </w:r>
    </w:p>
    <w:p>
      <w:pPr>
        <w:pStyle w:val="67"/>
        <w:ind w:left="0" w:leftChars="0" w:firstLine="0" w:firstLineChars="0"/>
      </w:pPr>
    </w:p>
    <w:p>
      <w:pPr>
        <w:tabs>
          <w:tab w:val="left" w:pos="6335"/>
        </w:tabs>
        <w:jc w:val="left"/>
        <w:rPr>
          <w:rFonts w:ascii="黑体" w:hAnsi="黑体" w:eastAsia="黑体" w:cs="黑体"/>
        </w:rPr>
      </w:pPr>
      <w:r>
        <w:rPr>
          <w:rFonts w:ascii="黑体" w:hAnsi="黑体" w:eastAsia="黑体"/>
        </w:rPr>
        <mc:AlternateContent>
          <mc:Choice Requires="wps">
            <w:drawing>
              <wp:anchor distT="0" distB="0" distL="114300" distR="114300" simplePos="0" relativeHeight="251664384" behindDoc="0" locked="0" layoutInCell="1" allowOverlap="1">
                <wp:simplePos x="0" y="0"/>
                <wp:positionH relativeFrom="column">
                  <wp:posOffset>2124075</wp:posOffset>
                </wp:positionH>
                <wp:positionV relativeFrom="paragraph">
                  <wp:posOffset>174625</wp:posOffset>
                </wp:positionV>
                <wp:extent cx="1800225" cy="0"/>
                <wp:effectExtent l="0" t="0" r="28575" b="19050"/>
                <wp:wrapNone/>
                <wp:docPr id="25" name="直接箭头连接符 5"/>
                <wp:cNvGraphicFramePr/>
                <a:graphic xmlns:a="http://schemas.openxmlformats.org/drawingml/2006/main">
                  <a:graphicData uri="http://schemas.microsoft.com/office/word/2010/wordprocessingShape">
                    <wps:wsp>
                      <wps:cNvCnPr>
                        <a:cxnSpLocks noChangeShapeType="true"/>
                      </wps:cNvCnPr>
                      <wps:spPr bwMode="auto">
                        <a:xfrm>
                          <a:off x="0" y="0"/>
                          <a:ext cx="1800225" cy="0"/>
                        </a:xfrm>
                        <a:prstGeom prst="straightConnector1">
                          <a:avLst/>
                        </a:prstGeom>
                        <a:noFill/>
                        <a:ln w="9525">
                          <a:solidFill>
                            <a:srgbClr val="000000"/>
                          </a:solidFill>
                          <a:round/>
                        </a:ln>
                        <a:effectLst/>
                      </wps:spPr>
                      <wps:bodyPr/>
                    </wps:wsp>
                  </a:graphicData>
                </a:graphic>
              </wp:anchor>
            </w:drawing>
          </mc:Choice>
          <mc:Fallback>
            <w:pict>
              <v:shape id="直接箭头连接符 5" o:spid="_x0000_s1026" o:spt="32" type="#_x0000_t32" style="position:absolute;left:0pt;margin-left:167.25pt;margin-top:13.75pt;height:0pt;width:141.75pt;z-index:251664384;mso-width-relative:page;mso-height-relative:page;" filled="f" stroked="t" coordsize="21600,21600" o:gfxdata="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N2PO/tgAAAAJAQAADwAAAAAAAAABACAAAAA4AAAAZHJzL2Rvd25yZXYueG1sUEsBAhQA&#10;FAAAAAgAh07iQHlT6OfcAQAAggMAAA4AAAAAAAAAAQAgAAAAPQEAAGRycy9lMm9Eb2MueG1sUEsF&#10;BgAAAAAGAAYAWQEAAIsFAAAAAA==&#10;">
                <v:fill on="f" focussize="0,0"/>
                <v:stroke color="#000000" joinstyle="round"/>
                <v:imagedata o:title=""/>
                <o:lock v:ext="edit" aspectratio="f"/>
              </v:shape>
            </w:pict>
          </mc:Fallback>
        </mc:AlternateContent>
      </w:r>
      <w:r>
        <w:rPr>
          <w:rFonts w:hint="eastAsia"/>
        </w:rPr>
        <w:tab/>
      </w:r>
    </w:p>
    <w:sectPr>
      <w:pgSz w:w="11906" w:h="16838"/>
      <w:pgMar w:top="1417" w:right="1134" w:bottom="1134" w:left="1417" w:header="1417"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仿宋_GB2312">
    <w:panose1 w:val="02010609030101010101"/>
    <w:charset w:val="52"/>
    <w:family w:val="modern"/>
    <w:pitch w:val="default"/>
    <w:sig w:usb0="00000001" w:usb1="080E0000" w:usb2="00000000" w:usb3="00000000" w:csb0="00040000" w:csb1="00000000"/>
  </w:font>
  <w:font w:name="Verdana">
    <w:altName w:val="Ubuntu"/>
    <w:panose1 w:val="020B0604030504040204"/>
    <w:charset w:val="00"/>
    <w:family w:val="swiss"/>
    <w:pitch w:val="default"/>
    <w:sig w:usb0="00000000" w:usb1="00000000" w:usb2="00000010" w:usb3="00000000" w:csb0="2000019F" w:csb1="00000000"/>
  </w:font>
  <w:font w:name="方正小标宋_GBK">
    <w:panose1 w:val="02000000000000000000"/>
    <w:charset w:val="86"/>
    <w:family w:val="script"/>
    <w:pitch w:val="default"/>
    <w:sig w:usb0="00000001" w:usb1="08000000" w:usb2="00000000" w:usb3="00000000" w:csb0="00040000" w:csb1="00000000"/>
  </w:font>
  <w:font w:name="Dotum,Bold">
    <w:altName w:val="黑体"/>
    <w:panose1 w:val="00000000000000000000"/>
    <w:charset w:val="86"/>
    <w:family w:val="auto"/>
    <w:pitch w:val="default"/>
    <w:sig w:usb0="00000000" w:usb1="00000000" w:usb2="00000010" w:usb3="00000000" w:csb0="00040000" w:csb1="00000000"/>
  </w:font>
  <w:font w:name="SimSun,Bold">
    <w:altName w:val="黑体"/>
    <w:panose1 w:val="00000000000000000000"/>
    <w:charset w:val="86"/>
    <w:family w:val="auto"/>
    <w:pitch w:val="default"/>
    <w:sig w:usb0="00000000" w:usb1="00000000" w:usb2="0000001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FreeSerif">
    <w:panose1 w:val="02020603050405020304"/>
    <w:charset w:val="00"/>
    <w:family w:val="auto"/>
    <w:pitch w:val="default"/>
    <w:sig w:usb0="E59FAFFF" w:usb1="C200FDFF" w:usb2="43501B29" w:usb3="04000043" w:csb0="600101FF" w:csb1="FFFF0000"/>
  </w:font>
  <w:font w:name="DejaVu Math TeX Gyre">
    <w:panose1 w:val="02000503000000000000"/>
    <w:charset w:val="00"/>
    <w:family w:val="auto"/>
    <w:pitch w:val="default"/>
    <w:sig w:usb0="A10000EF" w:usb1="4201F9EE" w:usb2="02000000" w:usb3="00000000" w:csb0="60000193" w:csb1="0DD40000"/>
  </w:font>
  <w:font w:name="方正宋体S-超大字符集(SIP)">
    <w:panose1 w:val="03000509000000000000"/>
    <w:charset w:val="86"/>
    <w:family w:val="auto"/>
    <w:pitch w:val="default"/>
    <w:sig w:usb0="00000003" w:usb1="0A0E0800" w:usb2="00000006" w:usb3="00000000" w:csb0="00040001" w:csb1="00000000"/>
  </w:font>
  <w:font w:name="Ubuntu">
    <w:panose1 w:val="020B0604030602030204"/>
    <w:charset w:val="00"/>
    <w:family w:val="auto"/>
    <w:pitch w:val="default"/>
    <w:sig w:usb0="E00002FF" w:usb1="5000205B" w:usb2="00000000" w:usb3="00000000" w:csb0="2000009F" w:csb1="56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asciiTheme="minorEastAsia" w:hAnsiTheme="minorEastAsia" w:cstheme="minorEastAsia"/>
                            </w:rPr>
                          </w:pPr>
                          <w:r>
                            <w:rPr>
                              <w:rFonts w:hint="eastAsia" w:asciiTheme="minorEastAsia" w:hAnsiTheme="minorEastAsia" w:cstheme="minorEastAsia"/>
                            </w:rPr>
                            <w:fldChar w:fldCharType="begin"/>
                          </w:r>
                          <w:r>
                            <w:rPr>
                              <w:rFonts w:hint="eastAsia" w:asciiTheme="minorEastAsia" w:hAnsiTheme="minorEastAsia" w:cstheme="minorEastAsia"/>
                            </w:rPr>
                            <w:instrText xml:space="preserve"> PAGE  \* MERGEFORMAT </w:instrText>
                          </w:r>
                          <w:r>
                            <w:rPr>
                              <w:rFonts w:hint="eastAsia" w:asciiTheme="minorEastAsia" w:hAnsiTheme="minorEastAsia" w:cstheme="minorEastAsia"/>
                            </w:rPr>
                            <w:fldChar w:fldCharType="separate"/>
                          </w:r>
                          <w:r>
                            <w:rPr>
                              <w:rFonts w:asciiTheme="minorEastAsia" w:hAnsiTheme="minorEastAsia" w:cstheme="minorEastAsia"/>
                            </w:rPr>
                            <w:t>I</w:t>
                          </w:r>
                          <w:r>
                            <w:rPr>
                              <w:rFonts w:hint="eastAsia" w:asciiTheme="minorEastAsia" w:hAnsiTheme="minorEastAsia" w:cs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13"/>
                      <w:rPr>
                        <w:rFonts w:asciiTheme="minorEastAsia" w:hAnsiTheme="minorEastAsia" w:cstheme="minorEastAsia"/>
                      </w:rPr>
                    </w:pPr>
                    <w:r>
                      <w:rPr>
                        <w:rFonts w:hint="eastAsia" w:asciiTheme="minorEastAsia" w:hAnsiTheme="minorEastAsia" w:cstheme="minorEastAsia"/>
                      </w:rPr>
                      <w:fldChar w:fldCharType="begin"/>
                    </w:r>
                    <w:r>
                      <w:rPr>
                        <w:rFonts w:hint="eastAsia" w:asciiTheme="minorEastAsia" w:hAnsiTheme="minorEastAsia" w:cstheme="minorEastAsia"/>
                      </w:rPr>
                      <w:instrText xml:space="preserve"> PAGE  \* MERGEFORMAT </w:instrText>
                    </w:r>
                    <w:r>
                      <w:rPr>
                        <w:rFonts w:hint="eastAsia" w:asciiTheme="minorEastAsia" w:hAnsiTheme="minorEastAsia" w:cstheme="minorEastAsia"/>
                      </w:rPr>
                      <w:fldChar w:fldCharType="separate"/>
                    </w:r>
                    <w:r>
                      <w:rPr>
                        <w:rFonts w:asciiTheme="minorEastAsia" w:hAnsiTheme="minorEastAsia" w:cstheme="minorEastAsia"/>
                      </w:rPr>
                      <w:t>I</w:t>
                    </w:r>
                    <w:r>
                      <w:rPr>
                        <w:rFonts w:hint="eastAsia" w:asciiTheme="minorEastAsia" w:hAnsiTheme="minorEastAsia" w:cstheme="minorEastAsia"/>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6</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IP9MkFQIAABsEAAAOAAAAAAAAAAEAIAAAADUBAABkcnMvZTJvRG9jLnhtbFBLBQYAAAAABgAG&#10;AFkBAAC8BQAAAAA=&#10;">
              <v:fill on="f" focussize="0,0"/>
              <v:stroke on="f" weight="0.5pt"/>
              <v:imagedata o:title=""/>
              <o:lock v:ext="edit" aspectratio="f"/>
              <v:textbox inset="0mm,0mm,0mm,0mm" style="mso-fit-shape-to-text:t;">
                <w:txbxContent>
                  <w:p>
                    <w:pPr>
                      <w:pStyle w:val="1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6</w:t>
                    </w:r>
                    <w:r>
                      <w:rPr>
                        <w:rFonts w:hint="eastAsia" w:ascii="宋体" w:hAnsi="宋体" w:eastAsia="宋体" w:cs="宋体"/>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Dj2kFgIAABsEAAAOAAAAZHJz&#10;L2Uyb0RvYy54bWytU8uO0zAU3SPxD5b3NGkRQ1U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OA49pBYCAAAbBAAADgAAAAAAAAABACAAAAA1AQAAZHJzL2Uyb0RvYy54bWxQSwUGAAAAAAYA&#10;BgBZAQAAvQUAAAAA&#10;">
              <v:fill on="f" focussize="0,0"/>
              <v:stroke on="f" weight="0.5pt"/>
              <v:imagedata o:title=""/>
              <o:lock v:ext="edit" aspectratio="f"/>
              <v:textbox inset="0mm,0mm,0mm,0mm" style="mso-fit-shape-to-text:t;">
                <w:txbxContent>
                  <w:p>
                    <w:pPr>
                      <w:pStyle w:val="1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11</w:t>
                    </w:r>
                    <w:r>
                      <w:rPr>
                        <w:rFonts w:hint="eastAsia" w:ascii="宋体" w:hAnsi="宋体" w:eastAsia="宋体" w:cs="宋体"/>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KwOAkwUAgAAGwQAAA4AAAAAAAAAAQAgAAAANQEAAGRycy9lMm9Eb2MueG1sUEsFBgAAAAAGAAYA&#10;WQEAALsFAAAAAA==&#10;">
              <v:fill on="f" focussize="0,0"/>
              <v:stroke on="f" weight="0.5pt"/>
              <v:imagedata o:title=""/>
              <o:lock v:ext="edit" aspectratio="f"/>
              <v:textbox inset="0mm,0mm,0mm,0mm" style="mso-fit-shape-to-text:t;">
                <w:txbxContent>
                  <w:p>
                    <w:pPr>
                      <w:pStyle w:val="1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12</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A0Tqs0UAgAAGwQAAA4AAAAAAAAAAQAgAAAANQEAAGRycy9lMm9Eb2MueG1sUEsFBgAAAAAGAAYA&#10;WQEAALs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asciiTheme="minorEastAsia" w:hAnsiTheme="minorEastAsia" w:cstheme="minorEastAsia"/>
                            </w:rPr>
                          </w:pP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13"/>
                      <w:rPr>
                        <w:rFonts w:asciiTheme="minorEastAsia" w:hAnsiTheme="minorEastAsia" w:cstheme="minorEastAsia"/>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Bp+M3hYCAAAZBAAADgAAAAAAAAABACAAAAA1AQAAZHJzL2Uyb0RvYy54bWxQSwUGAAAAAAYA&#10;BgBZAQAAvQ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L8/hKFQIAABsEAAAOAAAAAAAAAAEAIAAAADUBAABkcnMvZTJvRG9jLnhtbFBLBQYAAAAABgAG&#10;AFkBAAC8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II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O8IWyhYCAAAbBAAADgAAAAAAAAABACAAAAA1AQAAZHJzL2Uyb0RvYy54bWxQSwUGAAAAAAYA&#10;BgBZAQAAvQUAAAAA&#10;">
              <v:fill on="f" focussize="0,0"/>
              <v:stroke on="f" weight="0.5pt"/>
              <v:imagedata o:title=""/>
              <o:lock v:ext="edit" aspectratio="f"/>
              <v:textbox inset="0mm,0mm,0mm,0mm" style="mso-fit-shape-to-text:t;">
                <w:txbxContent>
                  <w:p>
                    <w:pPr>
                      <w:pStyle w:val="1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II</w:t>
                    </w:r>
                    <w:r>
                      <w:rPr>
                        <w:rFonts w:hint="eastAsia" w:ascii="宋体" w:hAnsi="宋体" w:eastAsia="宋体" w:cs="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7</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pWn7+FgIAABsEAAAOAAAAZHJz&#10;L2Uyb0RvYy54bWytU8uO0zAU3SPxD5b3NGmBUVU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qVp+/hYCAAAbBAAADgAAAAAAAAABACAAAAA1AQAAZHJzL2Uyb0RvYy54bWxQSwUGAAAAAAYA&#10;BgBZAQAAvQUAAAAA&#10;">
              <v:fill on="f" focussize="0,0"/>
              <v:stroke on="f" weight="0.5pt"/>
              <v:imagedata o:title=""/>
              <o:lock v:ext="edit" aspectratio="f"/>
              <v:textbox inset="0mm,0mm,0mm,0mm" style="mso-fit-shape-to-text:t;">
                <w:txbxContent>
                  <w:p>
                    <w:pPr>
                      <w:pStyle w:val="1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7</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ascii="黑体" w:hAnsi="黑体" w:eastAsia="黑体"/>
        <w:i w:val="0"/>
        <w:color w:val="808080" w:themeColor="text1" w:themeTint="80"/>
        <w14:textFill>
          <w14:solidFill>
            <w14:schemeClr w14:val="tx1">
              <w14:lumMod w14:val="50000"/>
              <w14:lumOff w14:val="50000"/>
            </w14:schemeClr>
          </w14:solidFill>
        </w14:textFill>
      </w:rPr>
    </w:pP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ascii="黑体" w:hAnsi="黑体" w:eastAsia="黑体"/>
        <w:i w:val="0"/>
        <w:color w:val="808080" w:themeColor="text1" w:themeTint="80"/>
        <w14:textFill>
          <w14:solidFill>
            <w14:schemeClr w14:val="tx1">
              <w14:lumMod w14:val="50000"/>
              <w14:lumOff w14:val="50000"/>
            </w14:schemeClr>
          </w14:solidFill>
        </w14:textFil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rPr>
      <w:t>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adjustRightInd w:val="0"/>
      <w:snapToGrid w:val="0"/>
      <w:spacing w:after="283"/>
      <w:rPr>
        <w:rStyle w:val="34"/>
        <w:rFonts w:ascii="黑体" w:hAnsi="黑体" w:eastAsia="黑体"/>
        <w:i w:val="0"/>
        <w:color w:val="808080" w:themeColor="text1" w:themeTint="80"/>
        <w14:textFill>
          <w14:solidFill>
            <w14:schemeClr w14:val="tx1">
              <w14:lumMod w14:val="50000"/>
              <w14:lumOff w14:val="50000"/>
            </w14:schemeClr>
          </w14:solidFill>
        </w14:textFill>
      </w:rPr>
    </w:pPr>
    <w:r>
      <w:ptab w:relativeTo="margin" w:alignment="righ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rP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after="283"/>
      <w:jc w:val="left"/>
      <w:rPr>
        <w:rFonts w:ascii="黑体" w:hAnsi="黑体" w:eastAsia="黑体"/>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spacing w:after="283"/>
      <w:jc w:val="right"/>
      <w:rPr>
        <w:rFonts w:ascii="黑体" w:hAnsi="黑体" w:eastAsia="黑体"/>
        <w:sz w:val="21"/>
        <w:szCs w:val="22"/>
      </w:rPr>
    </w:pPr>
    <w:r>
      <w:rPr>
        <w:rFonts w:hint="eastAsia" w:ascii="黑体" w:hAnsi="黑体" w:eastAsia="黑体"/>
        <w:sz w:val="21"/>
        <w:szCs w:val="22"/>
      </w:rPr>
      <w:t>DB3205/T XXX—2024</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after="283"/>
      <w:rPr>
        <w:rFonts w:ascii="黑体" w:hAnsi="黑体" w:eastAsia="黑体"/>
      </w:rPr>
    </w:pP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F292CA"/>
    <w:multiLevelType w:val="singleLevel"/>
    <w:tmpl w:val="97F292CA"/>
    <w:lvl w:ilvl="0" w:tentative="0">
      <w:start w:val="1"/>
      <w:numFmt w:val="lowerLetter"/>
      <w:suff w:val="space"/>
      <w:lvlText w:val="%1）"/>
      <w:lvlJc w:val="left"/>
      <w:rPr>
        <w:rFonts w:hint="default" w:ascii="宋体" w:hAnsi="宋体" w:eastAsia="宋体" w:cs="宋体"/>
        <w:sz w:val="21"/>
        <w:szCs w:val="21"/>
      </w:rPr>
    </w:lvl>
  </w:abstractNum>
  <w:abstractNum w:abstractNumId="1">
    <w:nsid w:val="CE487D9A"/>
    <w:multiLevelType w:val="singleLevel"/>
    <w:tmpl w:val="CE487D9A"/>
    <w:lvl w:ilvl="0" w:tentative="0">
      <w:start w:val="1"/>
      <w:numFmt w:val="lowerLetter"/>
      <w:suff w:val="space"/>
      <w:lvlText w:val="%1）"/>
      <w:lvlJc w:val="left"/>
      <w:rPr>
        <w:rFonts w:hint="default" w:ascii="宋体" w:hAnsi="宋体" w:eastAsia="宋体" w:cs="宋体"/>
        <w:sz w:val="21"/>
        <w:szCs w:val="21"/>
      </w:rPr>
    </w:lvl>
  </w:abstractNum>
  <w:abstractNum w:abstractNumId="2">
    <w:nsid w:val="079102AD"/>
    <w:multiLevelType w:val="multilevel"/>
    <w:tmpl w:val="079102AD"/>
    <w:lvl w:ilvl="0" w:tentative="0">
      <w:start w:val="1"/>
      <w:numFmt w:val="decimal"/>
      <w:pStyle w:val="77"/>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4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2D2EE2"/>
    <w:multiLevelType w:val="multilevel"/>
    <w:tmpl w:val="0A2D2EE2"/>
    <w:lvl w:ilvl="0" w:tentative="0">
      <w:start w:val="1"/>
      <w:numFmt w:val="decimal"/>
      <w:suff w:val="space"/>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15EF0C26"/>
    <w:multiLevelType w:val="multilevel"/>
    <w:tmpl w:val="15EF0C26"/>
    <w:lvl w:ilvl="0" w:tentative="0">
      <w:start w:val="1"/>
      <w:numFmt w:val="lowerLetter"/>
      <w:pStyle w:val="55"/>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1FC91163"/>
    <w:multiLevelType w:val="multilevel"/>
    <w:tmpl w:val="1FC91163"/>
    <w:lvl w:ilvl="0" w:tentative="0">
      <w:start w:val="1"/>
      <w:numFmt w:val="decimal"/>
      <w:pStyle w:val="5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5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C5917C3"/>
    <w:multiLevelType w:val="multilevel"/>
    <w:tmpl w:val="2C5917C3"/>
    <w:lvl w:ilvl="0" w:tentative="0">
      <w:start w:val="1"/>
      <w:numFmt w:val="none"/>
      <w:suff w:val="nothing"/>
      <w:lvlText w:val="%1——"/>
      <w:lvlJc w:val="left"/>
      <w:pPr>
        <w:ind w:left="833" w:hanging="408"/>
      </w:pPr>
      <w:rPr>
        <w:rFonts w:hint="default" w:ascii="黑体" w:hAnsi="黑体" w:eastAsia="黑体" w:cs="黑体"/>
        <w:lang w:val="en-US"/>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44C50F90"/>
    <w:multiLevelType w:val="multilevel"/>
    <w:tmpl w:val="44C50F90"/>
    <w:lvl w:ilvl="0" w:tentative="0">
      <w:start w:val="1"/>
      <w:numFmt w:val="lowerLetter"/>
      <w:pStyle w:val="88"/>
      <w:lvlText w:val="%1)"/>
      <w:lvlJc w:val="left"/>
      <w:pPr>
        <w:tabs>
          <w:tab w:val="left" w:pos="851"/>
        </w:tabs>
        <w:ind w:left="851" w:hanging="426"/>
      </w:pPr>
      <w:rPr>
        <w:rFonts w:hint="eastAsia" w:ascii="宋体" w:hAnsi="Times New Roman" w:eastAsia="宋体"/>
        <w:sz w:val="21"/>
      </w:rPr>
    </w:lvl>
    <w:lvl w:ilvl="1" w:tentative="0">
      <w:start w:val="1"/>
      <w:numFmt w:val="decimal"/>
      <w:pStyle w:val="82"/>
      <w:lvlText w:val="%2)"/>
      <w:lvlJc w:val="left"/>
      <w:pPr>
        <w:tabs>
          <w:tab w:val="left" w:pos="1276"/>
        </w:tabs>
        <w:ind w:left="1276" w:hanging="425"/>
      </w:pPr>
      <w:rPr>
        <w:rFonts w:hint="eastAsia" w:ascii="宋体" w:hAnsi="Times New Roman" w:eastAsia="宋体"/>
        <w:sz w:val="21"/>
      </w:rPr>
    </w:lvl>
    <w:lvl w:ilvl="2" w:tentative="0">
      <w:start w:val="1"/>
      <w:numFmt w:val="decimal"/>
      <w:pStyle w:val="8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7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646260FA"/>
    <w:multiLevelType w:val="multilevel"/>
    <w:tmpl w:val="646260FA"/>
    <w:lvl w:ilvl="0" w:tentative="0">
      <w:start w:val="1"/>
      <w:numFmt w:val="decimal"/>
      <w:pStyle w:val="6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657D3FBC"/>
    <w:multiLevelType w:val="multilevel"/>
    <w:tmpl w:val="657D3FBC"/>
    <w:lvl w:ilvl="0" w:tentative="0">
      <w:start w:val="1"/>
      <w:numFmt w:val="upperLetter"/>
      <w:pStyle w:val="59"/>
      <w:suff w:val="nothing"/>
      <w:lvlText w:val="附　录　%1"/>
      <w:lvlJc w:val="left"/>
      <w:pPr>
        <w:ind w:left="4410" w:firstLine="0"/>
      </w:pPr>
      <w:rPr>
        <w:rFonts w:hint="eastAsia" w:ascii="黑体" w:hAnsi="Times New Roman" w:eastAsia="黑体"/>
        <w:b w:val="0"/>
        <w:i w:val="0"/>
        <w:spacing w:val="0"/>
        <w:w w:val="100"/>
        <w:sz w:val="21"/>
      </w:rPr>
    </w:lvl>
    <w:lvl w:ilvl="1" w:tentative="0">
      <w:start w:val="1"/>
      <w:numFmt w:val="decimal"/>
      <w:pStyle w:val="73"/>
      <w:suff w:val="nothing"/>
      <w:lvlText w:val="%1.%2　"/>
      <w:lvlJc w:val="left"/>
      <w:pPr>
        <w:ind w:left="441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410" w:firstLine="0"/>
      </w:pPr>
      <w:rPr>
        <w:rFonts w:hint="eastAsia" w:ascii="黑体" w:hAnsi="Times New Roman" w:eastAsia="黑体"/>
        <w:b w:val="0"/>
        <w:i w:val="0"/>
        <w:sz w:val="21"/>
      </w:rPr>
    </w:lvl>
    <w:lvl w:ilvl="3" w:tentative="0">
      <w:start w:val="1"/>
      <w:numFmt w:val="decimal"/>
      <w:suff w:val="nothing"/>
      <w:lvlText w:val="%1.%2.%3.%4　"/>
      <w:lvlJc w:val="left"/>
      <w:pPr>
        <w:ind w:left="4410" w:firstLine="0"/>
      </w:pPr>
      <w:rPr>
        <w:rFonts w:hint="eastAsia" w:ascii="黑体" w:hAnsi="Times New Roman" w:eastAsia="黑体"/>
        <w:b w:val="0"/>
        <w:i w:val="0"/>
        <w:sz w:val="21"/>
      </w:rPr>
    </w:lvl>
    <w:lvl w:ilvl="4" w:tentative="0">
      <w:start w:val="1"/>
      <w:numFmt w:val="decimal"/>
      <w:suff w:val="nothing"/>
      <w:lvlText w:val="%1.%2.%3.%4.%5　"/>
      <w:lvlJc w:val="left"/>
      <w:pPr>
        <w:ind w:left="4410" w:firstLine="0"/>
      </w:pPr>
      <w:rPr>
        <w:rFonts w:hint="eastAsia" w:ascii="黑体" w:hAnsi="Times New Roman" w:eastAsia="黑体"/>
        <w:b w:val="0"/>
        <w:i w:val="0"/>
        <w:sz w:val="21"/>
      </w:rPr>
    </w:lvl>
    <w:lvl w:ilvl="5" w:tentative="0">
      <w:start w:val="1"/>
      <w:numFmt w:val="decimal"/>
      <w:suff w:val="nothing"/>
      <w:lvlText w:val="%1.%2.%3.%4.%5.%6　"/>
      <w:lvlJc w:val="left"/>
      <w:pPr>
        <w:ind w:left="4410" w:firstLine="0"/>
      </w:pPr>
      <w:rPr>
        <w:rFonts w:hint="eastAsia" w:ascii="黑体" w:hAnsi="Times New Roman" w:eastAsia="黑体"/>
        <w:b w:val="0"/>
        <w:i w:val="0"/>
        <w:sz w:val="21"/>
      </w:rPr>
    </w:lvl>
    <w:lvl w:ilvl="6" w:tentative="0">
      <w:start w:val="1"/>
      <w:numFmt w:val="decimal"/>
      <w:suff w:val="nothing"/>
      <w:lvlText w:val="%1.%2.%3.%4.%5.%6.%7　"/>
      <w:lvlJc w:val="left"/>
      <w:pPr>
        <w:ind w:left="441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8804" w:hanging="1418"/>
      </w:pPr>
      <w:rPr>
        <w:rFonts w:hint="eastAsia"/>
      </w:rPr>
    </w:lvl>
    <w:lvl w:ilvl="8" w:tentative="0">
      <w:start w:val="1"/>
      <w:numFmt w:val="decimal"/>
      <w:lvlText w:val="%1.%2.%3.%4.%5.%6.%7.%8.%9"/>
      <w:lvlJc w:val="left"/>
      <w:pPr>
        <w:tabs>
          <w:tab w:val="left" w:pos="5102"/>
        </w:tabs>
        <w:ind w:left="9512" w:hanging="1700"/>
      </w:pPr>
      <w:rPr>
        <w:rFonts w:hint="eastAsia"/>
      </w:rPr>
    </w:lvl>
  </w:abstractNum>
  <w:abstractNum w:abstractNumId="1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66"/>
      <w:suff w:val="nothing"/>
      <w:lvlText w:val="%1%2　"/>
      <w:lvlJc w:val="left"/>
      <w:pPr>
        <w:ind w:left="0" w:firstLine="0"/>
      </w:pPr>
      <w:rPr>
        <w:rFonts w:hint="eastAsia" w:ascii="黑体" w:eastAsia="黑体"/>
        <w:b w:val="0"/>
        <w:i w:val="0"/>
        <w:sz w:val="21"/>
      </w:rPr>
    </w:lvl>
    <w:lvl w:ilvl="2" w:tentative="0">
      <w:start w:val="1"/>
      <w:numFmt w:val="decimal"/>
      <w:pStyle w:val="6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DBF04F4"/>
    <w:multiLevelType w:val="multilevel"/>
    <w:tmpl w:val="6DBF04F4"/>
    <w:lvl w:ilvl="0" w:tentative="0">
      <w:start w:val="1"/>
      <w:numFmt w:val="none"/>
      <w:pStyle w:val="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3"/>
  </w:num>
  <w:num w:numId="2">
    <w:abstractNumId w:val="6"/>
  </w:num>
  <w:num w:numId="3">
    <w:abstractNumId w:val="5"/>
  </w:num>
  <w:num w:numId="4">
    <w:abstractNumId w:val="7"/>
  </w:num>
  <w:num w:numId="5">
    <w:abstractNumId w:val="13"/>
  </w:num>
  <w:num w:numId="6">
    <w:abstractNumId w:val="11"/>
  </w:num>
  <w:num w:numId="7">
    <w:abstractNumId w:val="10"/>
  </w:num>
  <w:num w:numId="8">
    <w:abstractNumId w:val="12"/>
  </w:num>
  <w:num w:numId="9">
    <w:abstractNumId w:val="9"/>
  </w:num>
  <w:num w:numId="10">
    <w:abstractNumId w:val="2"/>
  </w:num>
  <w:num w:numId="11">
    <w:abstractNumId w:val="8"/>
  </w:num>
  <w:num w:numId="12">
    <w:abstractNumId w:val="1"/>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mirrorMargins w:val="true"/>
  <w:bordersDoNotSurroundHeader w:val="true"/>
  <w:bordersDoNotSurroundFooter w:val="true"/>
  <w:documentProtection w:edit="trackedChanges" w:enforcement="0"/>
  <w:defaultTabStop w:val="420"/>
  <w:evenAndOddHeaders w:val="true"/>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xMDg2ZDVmODAxZDIyMjVlZjY0Zjk3MTNiYWIwMTcifQ=="/>
    <w:docVar w:name="KSO_WPS_MARK_KEY" w:val="52548aae-2002-4139-9182-7b8689647ee4"/>
  </w:docVars>
  <w:rsids>
    <w:rsidRoot w:val="002C4A7A"/>
    <w:rsid w:val="00000C6F"/>
    <w:rsid w:val="00002D7A"/>
    <w:rsid w:val="00005817"/>
    <w:rsid w:val="00013861"/>
    <w:rsid w:val="00013BD9"/>
    <w:rsid w:val="000173A8"/>
    <w:rsid w:val="0001746B"/>
    <w:rsid w:val="0001770D"/>
    <w:rsid w:val="0002244A"/>
    <w:rsid w:val="00031630"/>
    <w:rsid w:val="0003782B"/>
    <w:rsid w:val="000505F8"/>
    <w:rsid w:val="000511AD"/>
    <w:rsid w:val="0005686E"/>
    <w:rsid w:val="00056E11"/>
    <w:rsid w:val="0006343E"/>
    <w:rsid w:val="00065304"/>
    <w:rsid w:val="00071463"/>
    <w:rsid w:val="00074CE1"/>
    <w:rsid w:val="00075ADA"/>
    <w:rsid w:val="000765E8"/>
    <w:rsid w:val="00081105"/>
    <w:rsid w:val="000814DC"/>
    <w:rsid w:val="00082333"/>
    <w:rsid w:val="00084DA8"/>
    <w:rsid w:val="0008519B"/>
    <w:rsid w:val="0009093B"/>
    <w:rsid w:val="0009104A"/>
    <w:rsid w:val="00092A3E"/>
    <w:rsid w:val="000944B1"/>
    <w:rsid w:val="000946C9"/>
    <w:rsid w:val="0009741B"/>
    <w:rsid w:val="000A05E2"/>
    <w:rsid w:val="000B1AD2"/>
    <w:rsid w:val="000B5222"/>
    <w:rsid w:val="000C1F9F"/>
    <w:rsid w:val="000D202A"/>
    <w:rsid w:val="000D2A07"/>
    <w:rsid w:val="000D3EF6"/>
    <w:rsid w:val="000D5C84"/>
    <w:rsid w:val="000E084D"/>
    <w:rsid w:val="000E4AD1"/>
    <w:rsid w:val="000F2CB4"/>
    <w:rsid w:val="001079B0"/>
    <w:rsid w:val="001103A2"/>
    <w:rsid w:val="00110D5E"/>
    <w:rsid w:val="00110EC6"/>
    <w:rsid w:val="00112AF7"/>
    <w:rsid w:val="00113409"/>
    <w:rsid w:val="001202C0"/>
    <w:rsid w:val="00120961"/>
    <w:rsid w:val="0012099B"/>
    <w:rsid w:val="00133094"/>
    <w:rsid w:val="00135CC0"/>
    <w:rsid w:val="0014534C"/>
    <w:rsid w:val="001462B7"/>
    <w:rsid w:val="00147278"/>
    <w:rsid w:val="00147564"/>
    <w:rsid w:val="00147A7E"/>
    <w:rsid w:val="00147F7E"/>
    <w:rsid w:val="00150DDD"/>
    <w:rsid w:val="001516E1"/>
    <w:rsid w:val="0015700F"/>
    <w:rsid w:val="0016095C"/>
    <w:rsid w:val="0016154E"/>
    <w:rsid w:val="001720FB"/>
    <w:rsid w:val="00173651"/>
    <w:rsid w:val="0017564C"/>
    <w:rsid w:val="00175A7C"/>
    <w:rsid w:val="001760F7"/>
    <w:rsid w:val="00176E61"/>
    <w:rsid w:val="00195C90"/>
    <w:rsid w:val="0019613E"/>
    <w:rsid w:val="001A06DC"/>
    <w:rsid w:val="001A1683"/>
    <w:rsid w:val="001A2848"/>
    <w:rsid w:val="001A2A72"/>
    <w:rsid w:val="001A2CD6"/>
    <w:rsid w:val="001B007D"/>
    <w:rsid w:val="001B01F2"/>
    <w:rsid w:val="001B0CF3"/>
    <w:rsid w:val="001B2AE6"/>
    <w:rsid w:val="001B3AC1"/>
    <w:rsid w:val="001B4775"/>
    <w:rsid w:val="001C0F5C"/>
    <w:rsid w:val="001C10DE"/>
    <w:rsid w:val="001C3415"/>
    <w:rsid w:val="001C4DED"/>
    <w:rsid w:val="001C7FB4"/>
    <w:rsid w:val="001D0910"/>
    <w:rsid w:val="001D2F2F"/>
    <w:rsid w:val="001D2F99"/>
    <w:rsid w:val="001D48D0"/>
    <w:rsid w:val="001D70CD"/>
    <w:rsid w:val="001E0871"/>
    <w:rsid w:val="001E3D11"/>
    <w:rsid w:val="001E4804"/>
    <w:rsid w:val="001E7BD6"/>
    <w:rsid w:val="001F47C8"/>
    <w:rsid w:val="00211953"/>
    <w:rsid w:val="002209AC"/>
    <w:rsid w:val="00220A99"/>
    <w:rsid w:val="00222A27"/>
    <w:rsid w:val="00223A5B"/>
    <w:rsid w:val="00223BD4"/>
    <w:rsid w:val="00230CF6"/>
    <w:rsid w:val="00230F2F"/>
    <w:rsid w:val="00234547"/>
    <w:rsid w:val="00247720"/>
    <w:rsid w:val="00251127"/>
    <w:rsid w:val="00251537"/>
    <w:rsid w:val="00251550"/>
    <w:rsid w:val="002517ED"/>
    <w:rsid w:val="0025181C"/>
    <w:rsid w:val="002559B9"/>
    <w:rsid w:val="00262444"/>
    <w:rsid w:val="00271A73"/>
    <w:rsid w:val="00276A28"/>
    <w:rsid w:val="002829F1"/>
    <w:rsid w:val="0028337F"/>
    <w:rsid w:val="00285357"/>
    <w:rsid w:val="00286986"/>
    <w:rsid w:val="00290F18"/>
    <w:rsid w:val="002914DD"/>
    <w:rsid w:val="00293BD3"/>
    <w:rsid w:val="002950A9"/>
    <w:rsid w:val="00296094"/>
    <w:rsid w:val="002A2A23"/>
    <w:rsid w:val="002A4D51"/>
    <w:rsid w:val="002A5A01"/>
    <w:rsid w:val="002A5BCE"/>
    <w:rsid w:val="002B3E52"/>
    <w:rsid w:val="002B5800"/>
    <w:rsid w:val="002B731F"/>
    <w:rsid w:val="002C07E9"/>
    <w:rsid w:val="002C253D"/>
    <w:rsid w:val="002C34D0"/>
    <w:rsid w:val="002C3A09"/>
    <w:rsid w:val="002C4A7A"/>
    <w:rsid w:val="002C57A0"/>
    <w:rsid w:val="002C639A"/>
    <w:rsid w:val="002D2351"/>
    <w:rsid w:val="002D38F3"/>
    <w:rsid w:val="002D49DC"/>
    <w:rsid w:val="002D54BC"/>
    <w:rsid w:val="002E4373"/>
    <w:rsid w:val="002E5B5C"/>
    <w:rsid w:val="002E6950"/>
    <w:rsid w:val="002F2052"/>
    <w:rsid w:val="002F2C23"/>
    <w:rsid w:val="002F3CCA"/>
    <w:rsid w:val="00301D6E"/>
    <w:rsid w:val="0030224A"/>
    <w:rsid w:val="00302D0D"/>
    <w:rsid w:val="00304C82"/>
    <w:rsid w:val="00311B67"/>
    <w:rsid w:val="0031322E"/>
    <w:rsid w:val="003160E4"/>
    <w:rsid w:val="00317DB9"/>
    <w:rsid w:val="00327834"/>
    <w:rsid w:val="00330DE3"/>
    <w:rsid w:val="00334B35"/>
    <w:rsid w:val="00334DA4"/>
    <w:rsid w:val="00335ABA"/>
    <w:rsid w:val="00340030"/>
    <w:rsid w:val="00340CAC"/>
    <w:rsid w:val="00341B19"/>
    <w:rsid w:val="003422C6"/>
    <w:rsid w:val="003429B3"/>
    <w:rsid w:val="003438AA"/>
    <w:rsid w:val="00344E14"/>
    <w:rsid w:val="0034543B"/>
    <w:rsid w:val="00346C04"/>
    <w:rsid w:val="00354DAE"/>
    <w:rsid w:val="00355096"/>
    <w:rsid w:val="003568F1"/>
    <w:rsid w:val="00362FF0"/>
    <w:rsid w:val="00363306"/>
    <w:rsid w:val="003662BC"/>
    <w:rsid w:val="00366DB7"/>
    <w:rsid w:val="00367200"/>
    <w:rsid w:val="0037136A"/>
    <w:rsid w:val="003720DC"/>
    <w:rsid w:val="00375FCF"/>
    <w:rsid w:val="00387FF8"/>
    <w:rsid w:val="00393266"/>
    <w:rsid w:val="003A0DBB"/>
    <w:rsid w:val="003A238B"/>
    <w:rsid w:val="003B6878"/>
    <w:rsid w:val="003C0E5B"/>
    <w:rsid w:val="003C2C65"/>
    <w:rsid w:val="003C31B0"/>
    <w:rsid w:val="003C7CE5"/>
    <w:rsid w:val="003D0151"/>
    <w:rsid w:val="003D13FA"/>
    <w:rsid w:val="003D1497"/>
    <w:rsid w:val="003E0580"/>
    <w:rsid w:val="003E28CE"/>
    <w:rsid w:val="003F714F"/>
    <w:rsid w:val="00407B9E"/>
    <w:rsid w:val="00411F90"/>
    <w:rsid w:val="00417738"/>
    <w:rsid w:val="0042003E"/>
    <w:rsid w:val="004212D3"/>
    <w:rsid w:val="00422051"/>
    <w:rsid w:val="0042333A"/>
    <w:rsid w:val="00426BC8"/>
    <w:rsid w:val="00430DD2"/>
    <w:rsid w:val="0043323C"/>
    <w:rsid w:val="004426FC"/>
    <w:rsid w:val="0044581A"/>
    <w:rsid w:val="00451407"/>
    <w:rsid w:val="00451847"/>
    <w:rsid w:val="00454031"/>
    <w:rsid w:val="0045451F"/>
    <w:rsid w:val="004574AE"/>
    <w:rsid w:val="00460DAD"/>
    <w:rsid w:val="004610BF"/>
    <w:rsid w:val="00471508"/>
    <w:rsid w:val="00482644"/>
    <w:rsid w:val="004926A0"/>
    <w:rsid w:val="00495E4E"/>
    <w:rsid w:val="004A0644"/>
    <w:rsid w:val="004A132F"/>
    <w:rsid w:val="004A6AB6"/>
    <w:rsid w:val="004B01AE"/>
    <w:rsid w:val="004B12F5"/>
    <w:rsid w:val="004B2D06"/>
    <w:rsid w:val="004B540D"/>
    <w:rsid w:val="004C2F70"/>
    <w:rsid w:val="004C5E71"/>
    <w:rsid w:val="004D09E4"/>
    <w:rsid w:val="004D424C"/>
    <w:rsid w:val="004D5B9A"/>
    <w:rsid w:val="004E01DA"/>
    <w:rsid w:val="004E3E2D"/>
    <w:rsid w:val="004E4186"/>
    <w:rsid w:val="004E4DE6"/>
    <w:rsid w:val="004F0C75"/>
    <w:rsid w:val="004F0CAF"/>
    <w:rsid w:val="004F3DCC"/>
    <w:rsid w:val="00506EF4"/>
    <w:rsid w:val="005102EF"/>
    <w:rsid w:val="00510EBE"/>
    <w:rsid w:val="005122CD"/>
    <w:rsid w:val="00520237"/>
    <w:rsid w:val="00523728"/>
    <w:rsid w:val="00524CE2"/>
    <w:rsid w:val="0053086A"/>
    <w:rsid w:val="00531836"/>
    <w:rsid w:val="00534D92"/>
    <w:rsid w:val="00536AD1"/>
    <w:rsid w:val="00540818"/>
    <w:rsid w:val="00542910"/>
    <w:rsid w:val="00546657"/>
    <w:rsid w:val="00554600"/>
    <w:rsid w:val="0055478B"/>
    <w:rsid w:val="005606B4"/>
    <w:rsid w:val="00563D0F"/>
    <w:rsid w:val="005701EA"/>
    <w:rsid w:val="00575480"/>
    <w:rsid w:val="00591331"/>
    <w:rsid w:val="005928C2"/>
    <w:rsid w:val="00596070"/>
    <w:rsid w:val="005A2C7F"/>
    <w:rsid w:val="005A4975"/>
    <w:rsid w:val="005A60AC"/>
    <w:rsid w:val="005B6206"/>
    <w:rsid w:val="005B6D29"/>
    <w:rsid w:val="005C370B"/>
    <w:rsid w:val="005E015F"/>
    <w:rsid w:val="005E1CA7"/>
    <w:rsid w:val="005E2302"/>
    <w:rsid w:val="005E7A27"/>
    <w:rsid w:val="005F2DCC"/>
    <w:rsid w:val="005F5CFF"/>
    <w:rsid w:val="00600F7C"/>
    <w:rsid w:val="006045C0"/>
    <w:rsid w:val="00610AF4"/>
    <w:rsid w:val="00613357"/>
    <w:rsid w:val="00616AFA"/>
    <w:rsid w:val="00621AD2"/>
    <w:rsid w:val="00626507"/>
    <w:rsid w:val="0062656D"/>
    <w:rsid w:val="00633884"/>
    <w:rsid w:val="00635FE2"/>
    <w:rsid w:val="00637850"/>
    <w:rsid w:val="00640CD9"/>
    <w:rsid w:val="00646C9D"/>
    <w:rsid w:val="006476F3"/>
    <w:rsid w:val="0065660B"/>
    <w:rsid w:val="00662568"/>
    <w:rsid w:val="006738FB"/>
    <w:rsid w:val="00673C24"/>
    <w:rsid w:val="006763FD"/>
    <w:rsid w:val="006839CD"/>
    <w:rsid w:val="006867E4"/>
    <w:rsid w:val="00686AB4"/>
    <w:rsid w:val="00687FF9"/>
    <w:rsid w:val="00692471"/>
    <w:rsid w:val="00694817"/>
    <w:rsid w:val="00695FD6"/>
    <w:rsid w:val="006965B2"/>
    <w:rsid w:val="00697323"/>
    <w:rsid w:val="006A3A00"/>
    <w:rsid w:val="006A587D"/>
    <w:rsid w:val="006B00F8"/>
    <w:rsid w:val="006B0EDD"/>
    <w:rsid w:val="006B15A8"/>
    <w:rsid w:val="006B470E"/>
    <w:rsid w:val="006B4E4A"/>
    <w:rsid w:val="006C1D9A"/>
    <w:rsid w:val="006D1713"/>
    <w:rsid w:val="006D3593"/>
    <w:rsid w:val="006D384B"/>
    <w:rsid w:val="006D7F23"/>
    <w:rsid w:val="006E0D51"/>
    <w:rsid w:val="006E42DF"/>
    <w:rsid w:val="006E6B90"/>
    <w:rsid w:val="006E757F"/>
    <w:rsid w:val="00705B6D"/>
    <w:rsid w:val="0070744F"/>
    <w:rsid w:val="007078CB"/>
    <w:rsid w:val="00711444"/>
    <w:rsid w:val="0071663C"/>
    <w:rsid w:val="00716D47"/>
    <w:rsid w:val="00717C25"/>
    <w:rsid w:val="00720335"/>
    <w:rsid w:val="00721D42"/>
    <w:rsid w:val="00723CE8"/>
    <w:rsid w:val="00724CC3"/>
    <w:rsid w:val="00732CFF"/>
    <w:rsid w:val="00732DD3"/>
    <w:rsid w:val="00733FAB"/>
    <w:rsid w:val="00734A6B"/>
    <w:rsid w:val="00736194"/>
    <w:rsid w:val="00736BCB"/>
    <w:rsid w:val="007373F7"/>
    <w:rsid w:val="007404DC"/>
    <w:rsid w:val="0074159C"/>
    <w:rsid w:val="0074173E"/>
    <w:rsid w:val="00741CBE"/>
    <w:rsid w:val="00742605"/>
    <w:rsid w:val="00743636"/>
    <w:rsid w:val="0074631F"/>
    <w:rsid w:val="00747D46"/>
    <w:rsid w:val="00751B91"/>
    <w:rsid w:val="007530F9"/>
    <w:rsid w:val="00754A67"/>
    <w:rsid w:val="007569D0"/>
    <w:rsid w:val="00762676"/>
    <w:rsid w:val="00764D07"/>
    <w:rsid w:val="007667E9"/>
    <w:rsid w:val="007747B0"/>
    <w:rsid w:val="00775703"/>
    <w:rsid w:val="0077630C"/>
    <w:rsid w:val="00777F91"/>
    <w:rsid w:val="007829C8"/>
    <w:rsid w:val="00784961"/>
    <w:rsid w:val="007906E7"/>
    <w:rsid w:val="00790CFC"/>
    <w:rsid w:val="00791C19"/>
    <w:rsid w:val="00793C9B"/>
    <w:rsid w:val="007944B5"/>
    <w:rsid w:val="007A262B"/>
    <w:rsid w:val="007A325E"/>
    <w:rsid w:val="007B71FE"/>
    <w:rsid w:val="007B7740"/>
    <w:rsid w:val="007C5205"/>
    <w:rsid w:val="007C6FAF"/>
    <w:rsid w:val="007C72D7"/>
    <w:rsid w:val="007D209B"/>
    <w:rsid w:val="007D6D20"/>
    <w:rsid w:val="007D77B7"/>
    <w:rsid w:val="007E1F24"/>
    <w:rsid w:val="007E451F"/>
    <w:rsid w:val="007F0AD4"/>
    <w:rsid w:val="007F0CE2"/>
    <w:rsid w:val="007F3D33"/>
    <w:rsid w:val="007F5890"/>
    <w:rsid w:val="007F7E53"/>
    <w:rsid w:val="008029D3"/>
    <w:rsid w:val="008034D8"/>
    <w:rsid w:val="00803B33"/>
    <w:rsid w:val="0080474D"/>
    <w:rsid w:val="00804961"/>
    <w:rsid w:val="008062A9"/>
    <w:rsid w:val="0081659D"/>
    <w:rsid w:val="008204BD"/>
    <w:rsid w:val="00820C60"/>
    <w:rsid w:val="00822BEB"/>
    <w:rsid w:val="008237E6"/>
    <w:rsid w:val="00823FD0"/>
    <w:rsid w:val="00824687"/>
    <w:rsid w:val="008338C4"/>
    <w:rsid w:val="00842185"/>
    <w:rsid w:val="008423AD"/>
    <w:rsid w:val="00844C83"/>
    <w:rsid w:val="0084707B"/>
    <w:rsid w:val="0085002F"/>
    <w:rsid w:val="0085316A"/>
    <w:rsid w:val="008570AF"/>
    <w:rsid w:val="008601C4"/>
    <w:rsid w:val="0086279F"/>
    <w:rsid w:val="00864F8B"/>
    <w:rsid w:val="00866D54"/>
    <w:rsid w:val="00867DB6"/>
    <w:rsid w:val="0087171A"/>
    <w:rsid w:val="00871E5F"/>
    <w:rsid w:val="00874360"/>
    <w:rsid w:val="00874E16"/>
    <w:rsid w:val="008778D8"/>
    <w:rsid w:val="008823C4"/>
    <w:rsid w:val="00885586"/>
    <w:rsid w:val="00886D2A"/>
    <w:rsid w:val="008908A6"/>
    <w:rsid w:val="00892FE8"/>
    <w:rsid w:val="008A1ED9"/>
    <w:rsid w:val="008A525F"/>
    <w:rsid w:val="008A778B"/>
    <w:rsid w:val="008A7A04"/>
    <w:rsid w:val="008B2AA1"/>
    <w:rsid w:val="008B4744"/>
    <w:rsid w:val="008B4CD3"/>
    <w:rsid w:val="008C1198"/>
    <w:rsid w:val="008C23EA"/>
    <w:rsid w:val="008C6DE2"/>
    <w:rsid w:val="008C754A"/>
    <w:rsid w:val="008D32D9"/>
    <w:rsid w:val="008D50F3"/>
    <w:rsid w:val="008D6AC9"/>
    <w:rsid w:val="008E1D3D"/>
    <w:rsid w:val="008E73CE"/>
    <w:rsid w:val="008F25A0"/>
    <w:rsid w:val="008F7846"/>
    <w:rsid w:val="00900625"/>
    <w:rsid w:val="00900D6C"/>
    <w:rsid w:val="009014F8"/>
    <w:rsid w:val="00902C03"/>
    <w:rsid w:val="009056B3"/>
    <w:rsid w:val="00905EC8"/>
    <w:rsid w:val="009068F3"/>
    <w:rsid w:val="00906EE2"/>
    <w:rsid w:val="00912AA0"/>
    <w:rsid w:val="00914E1E"/>
    <w:rsid w:val="0092183B"/>
    <w:rsid w:val="00922FAC"/>
    <w:rsid w:val="009304BF"/>
    <w:rsid w:val="00932FD3"/>
    <w:rsid w:val="00941A12"/>
    <w:rsid w:val="00941B18"/>
    <w:rsid w:val="009449CC"/>
    <w:rsid w:val="00945592"/>
    <w:rsid w:val="00950501"/>
    <w:rsid w:val="00953360"/>
    <w:rsid w:val="009534B7"/>
    <w:rsid w:val="0095703E"/>
    <w:rsid w:val="0096181B"/>
    <w:rsid w:val="00961EC7"/>
    <w:rsid w:val="00970C6E"/>
    <w:rsid w:val="00975728"/>
    <w:rsid w:val="00980848"/>
    <w:rsid w:val="0098422A"/>
    <w:rsid w:val="00992159"/>
    <w:rsid w:val="0099488E"/>
    <w:rsid w:val="009956AD"/>
    <w:rsid w:val="00996CA4"/>
    <w:rsid w:val="009A18CB"/>
    <w:rsid w:val="009A67D7"/>
    <w:rsid w:val="009A7D1D"/>
    <w:rsid w:val="009B2735"/>
    <w:rsid w:val="009B5AFA"/>
    <w:rsid w:val="009B6DC7"/>
    <w:rsid w:val="009B7156"/>
    <w:rsid w:val="009C15D7"/>
    <w:rsid w:val="009C71D1"/>
    <w:rsid w:val="009D11D8"/>
    <w:rsid w:val="009D27A6"/>
    <w:rsid w:val="009D421A"/>
    <w:rsid w:val="009D5852"/>
    <w:rsid w:val="009D7E50"/>
    <w:rsid w:val="009E229D"/>
    <w:rsid w:val="009E4501"/>
    <w:rsid w:val="009F022A"/>
    <w:rsid w:val="009F25EB"/>
    <w:rsid w:val="009F4144"/>
    <w:rsid w:val="009F655E"/>
    <w:rsid w:val="009F7F08"/>
    <w:rsid w:val="00A0144F"/>
    <w:rsid w:val="00A0565D"/>
    <w:rsid w:val="00A0685D"/>
    <w:rsid w:val="00A06B8F"/>
    <w:rsid w:val="00A129D5"/>
    <w:rsid w:val="00A15867"/>
    <w:rsid w:val="00A25BFF"/>
    <w:rsid w:val="00A26884"/>
    <w:rsid w:val="00A27283"/>
    <w:rsid w:val="00A2795C"/>
    <w:rsid w:val="00A302A8"/>
    <w:rsid w:val="00A31209"/>
    <w:rsid w:val="00A32E92"/>
    <w:rsid w:val="00A35EAE"/>
    <w:rsid w:val="00A415A9"/>
    <w:rsid w:val="00A421AD"/>
    <w:rsid w:val="00A516F3"/>
    <w:rsid w:val="00A52074"/>
    <w:rsid w:val="00A561C6"/>
    <w:rsid w:val="00A62CE9"/>
    <w:rsid w:val="00A634E6"/>
    <w:rsid w:val="00A66329"/>
    <w:rsid w:val="00A7056C"/>
    <w:rsid w:val="00A713B5"/>
    <w:rsid w:val="00A72B72"/>
    <w:rsid w:val="00A7361A"/>
    <w:rsid w:val="00A73768"/>
    <w:rsid w:val="00A833D6"/>
    <w:rsid w:val="00A87B13"/>
    <w:rsid w:val="00A92BF9"/>
    <w:rsid w:val="00A9458A"/>
    <w:rsid w:val="00A96125"/>
    <w:rsid w:val="00AA0DC4"/>
    <w:rsid w:val="00AA377C"/>
    <w:rsid w:val="00AA425D"/>
    <w:rsid w:val="00AB2CAF"/>
    <w:rsid w:val="00AB64F6"/>
    <w:rsid w:val="00AD00A8"/>
    <w:rsid w:val="00AD428E"/>
    <w:rsid w:val="00AD6C95"/>
    <w:rsid w:val="00AD74A7"/>
    <w:rsid w:val="00AE49BE"/>
    <w:rsid w:val="00AE55AC"/>
    <w:rsid w:val="00AE5F8A"/>
    <w:rsid w:val="00AF53DB"/>
    <w:rsid w:val="00AF7AFE"/>
    <w:rsid w:val="00B01237"/>
    <w:rsid w:val="00B02086"/>
    <w:rsid w:val="00B06017"/>
    <w:rsid w:val="00B10919"/>
    <w:rsid w:val="00B1286A"/>
    <w:rsid w:val="00B1318E"/>
    <w:rsid w:val="00B17747"/>
    <w:rsid w:val="00B21CF9"/>
    <w:rsid w:val="00B309C2"/>
    <w:rsid w:val="00B319F3"/>
    <w:rsid w:val="00B32A35"/>
    <w:rsid w:val="00B33754"/>
    <w:rsid w:val="00B35559"/>
    <w:rsid w:val="00B36BE0"/>
    <w:rsid w:val="00B37391"/>
    <w:rsid w:val="00B42D11"/>
    <w:rsid w:val="00B42FF5"/>
    <w:rsid w:val="00B450A3"/>
    <w:rsid w:val="00B61230"/>
    <w:rsid w:val="00B61250"/>
    <w:rsid w:val="00B618E8"/>
    <w:rsid w:val="00B634DB"/>
    <w:rsid w:val="00B64FF7"/>
    <w:rsid w:val="00B66014"/>
    <w:rsid w:val="00B71122"/>
    <w:rsid w:val="00B759FB"/>
    <w:rsid w:val="00B857D0"/>
    <w:rsid w:val="00B97265"/>
    <w:rsid w:val="00BA36F5"/>
    <w:rsid w:val="00BA4CDD"/>
    <w:rsid w:val="00BA70BA"/>
    <w:rsid w:val="00BA7E3E"/>
    <w:rsid w:val="00BB0517"/>
    <w:rsid w:val="00BC34A7"/>
    <w:rsid w:val="00BC6585"/>
    <w:rsid w:val="00BC76F2"/>
    <w:rsid w:val="00BD3F71"/>
    <w:rsid w:val="00BD44B5"/>
    <w:rsid w:val="00BE0AF2"/>
    <w:rsid w:val="00BE3C8C"/>
    <w:rsid w:val="00BE537A"/>
    <w:rsid w:val="00BE57BB"/>
    <w:rsid w:val="00BE6581"/>
    <w:rsid w:val="00BF4AEF"/>
    <w:rsid w:val="00C042FA"/>
    <w:rsid w:val="00C04AD5"/>
    <w:rsid w:val="00C1161C"/>
    <w:rsid w:val="00C16AD7"/>
    <w:rsid w:val="00C20320"/>
    <w:rsid w:val="00C2384C"/>
    <w:rsid w:val="00C245B1"/>
    <w:rsid w:val="00C27A7C"/>
    <w:rsid w:val="00C30043"/>
    <w:rsid w:val="00C33755"/>
    <w:rsid w:val="00C34933"/>
    <w:rsid w:val="00C40C1D"/>
    <w:rsid w:val="00C40E79"/>
    <w:rsid w:val="00C4166D"/>
    <w:rsid w:val="00C42E3C"/>
    <w:rsid w:val="00C45C14"/>
    <w:rsid w:val="00C462F3"/>
    <w:rsid w:val="00C46ADD"/>
    <w:rsid w:val="00C477F2"/>
    <w:rsid w:val="00C47CFD"/>
    <w:rsid w:val="00C50974"/>
    <w:rsid w:val="00C51190"/>
    <w:rsid w:val="00C54931"/>
    <w:rsid w:val="00C624AE"/>
    <w:rsid w:val="00C657CE"/>
    <w:rsid w:val="00C65B45"/>
    <w:rsid w:val="00C672AB"/>
    <w:rsid w:val="00C67BC0"/>
    <w:rsid w:val="00C7008A"/>
    <w:rsid w:val="00C72B93"/>
    <w:rsid w:val="00C7460A"/>
    <w:rsid w:val="00C774B2"/>
    <w:rsid w:val="00C83947"/>
    <w:rsid w:val="00C84D5C"/>
    <w:rsid w:val="00C91A53"/>
    <w:rsid w:val="00C93A0F"/>
    <w:rsid w:val="00C93CF3"/>
    <w:rsid w:val="00CA2979"/>
    <w:rsid w:val="00CA3ECD"/>
    <w:rsid w:val="00CA5E90"/>
    <w:rsid w:val="00CB084A"/>
    <w:rsid w:val="00CB251A"/>
    <w:rsid w:val="00CB69C0"/>
    <w:rsid w:val="00CB6A26"/>
    <w:rsid w:val="00CC212B"/>
    <w:rsid w:val="00CE0575"/>
    <w:rsid w:val="00CE1209"/>
    <w:rsid w:val="00CE274E"/>
    <w:rsid w:val="00CE5A6D"/>
    <w:rsid w:val="00CF2291"/>
    <w:rsid w:val="00D0028C"/>
    <w:rsid w:val="00D03768"/>
    <w:rsid w:val="00D04D1A"/>
    <w:rsid w:val="00D069E0"/>
    <w:rsid w:val="00D137EA"/>
    <w:rsid w:val="00D169F2"/>
    <w:rsid w:val="00D20D83"/>
    <w:rsid w:val="00D2420F"/>
    <w:rsid w:val="00D256C0"/>
    <w:rsid w:val="00D32A80"/>
    <w:rsid w:val="00D403C5"/>
    <w:rsid w:val="00D4585F"/>
    <w:rsid w:val="00D47CAE"/>
    <w:rsid w:val="00D505FB"/>
    <w:rsid w:val="00D50747"/>
    <w:rsid w:val="00D50BA3"/>
    <w:rsid w:val="00D53255"/>
    <w:rsid w:val="00D6138F"/>
    <w:rsid w:val="00D624B9"/>
    <w:rsid w:val="00D6371B"/>
    <w:rsid w:val="00D63E84"/>
    <w:rsid w:val="00D642F5"/>
    <w:rsid w:val="00D7138D"/>
    <w:rsid w:val="00D7526C"/>
    <w:rsid w:val="00D77234"/>
    <w:rsid w:val="00D80501"/>
    <w:rsid w:val="00D81394"/>
    <w:rsid w:val="00D85470"/>
    <w:rsid w:val="00D86D72"/>
    <w:rsid w:val="00D914B1"/>
    <w:rsid w:val="00D91668"/>
    <w:rsid w:val="00D965AB"/>
    <w:rsid w:val="00D965BD"/>
    <w:rsid w:val="00DA7326"/>
    <w:rsid w:val="00DB3696"/>
    <w:rsid w:val="00DC418F"/>
    <w:rsid w:val="00DD4EC4"/>
    <w:rsid w:val="00DD5468"/>
    <w:rsid w:val="00DD6F40"/>
    <w:rsid w:val="00DE201D"/>
    <w:rsid w:val="00DE3725"/>
    <w:rsid w:val="00DF1EBF"/>
    <w:rsid w:val="00DF29FB"/>
    <w:rsid w:val="00DF3B2F"/>
    <w:rsid w:val="00DF48F2"/>
    <w:rsid w:val="00DF4BB1"/>
    <w:rsid w:val="00DF59DB"/>
    <w:rsid w:val="00E0028F"/>
    <w:rsid w:val="00E0383F"/>
    <w:rsid w:val="00E03A13"/>
    <w:rsid w:val="00E03C54"/>
    <w:rsid w:val="00E0525C"/>
    <w:rsid w:val="00E1059E"/>
    <w:rsid w:val="00E120F0"/>
    <w:rsid w:val="00E14F1D"/>
    <w:rsid w:val="00E20A7B"/>
    <w:rsid w:val="00E22829"/>
    <w:rsid w:val="00E3004D"/>
    <w:rsid w:val="00E31B6C"/>
    <w:rsid w:val="00E346D3"/>
    <w:rsid w:val="00E35095"/>
    <w:rsid w:val="00E3509B"/>
    <w:rsid w:val="00E3537D"/>
    <w:rsid w:val="00E36C78"/>
    <w:rsid w:val="00E401C4"/>
    <w:rsid w:val="00E42F0F"/>
    <w:rsid w:val="00E45044"/>
    <w:rsid w:val="00E504BD"/>
    <w:rsid w:val="00E537D1"/>
    <w:rsid w:val="00E55655"/>
    <w:rsid w:val="00E621A8"/>
    <w:rsid w:val="00E72AA8"/>
    <w:rsid w:val="00E72BBB"/>
    <w:rsid w:val="00E81B66"/>
    <w:rsid w:val="00E8389F"/>
    <w:rsid w:val="00E838A4"/>
    <w:rsid w:val="00E84983"/>
    <w:rsid w:val="00E909BB"/>
    <w:rsid w:val="00E90FDD"/>
    <w:rsid w:val="00E91C59"/>
    <w:rsid w:val="00E96805"/>
    <w:rsid w:val="00EA115D"/>
    <w:rsid w:val="00EB1109"/>
    <w:rsid w:val="00EB2C29"/>
    <w:rsid w:val="00EB2DBC"/>
    <w:rsid w:val="00EB3505"/>
    <w:rsid w:val="00EB3E6D"/>
    <w:rsid w:val="00EB474D"/>
    <w:rsid w:val="00EB5D5A"/>
    <w:rsid w:val="00EB6A2C"/>
    <w:rsid w:val="00EC1078"/>
    <w:rsid w:val="00EC33D2"/>
    <w:rsid w:val="00EC6E3E"/>
    <w:rsid w:val="00ED1A85"/>
    <w:rsid w:val="00ED3E70"/>
    <w:rsid w:val="00ED4091"/>
    <w:rsid w:val="00ED5E11"/>
    <w:rsid w:val="00EE07BC"/>
    <w:rsid w:val="00EE2AFA"/>
    <w:rsid w:val="00EE4615"/>
    <w:rsid w:val="00EE4642"/>
    <w:rsid w:val="00EF0721"/>
    <w:rsid w:val="00EF20A1"/>
    <w:rsid w:val="00F12CCA"/>
    <w:rsid w:val="00F156A5"/>
    <w:rsid w:val="00F16A12"/>
    <w:rsid w:val="00F16BA1"/>
    <w:rsid w:val="00F200FB"/>
    <w:rsid w:val="00F233DA"/>
    <w:rsid w:val="00F26471"/>
    <w:rsid w:val="00F31218"/>
    <w:rsid w:val="00F32F4A"/>
    <w:rsid w:val="00F435EB"/>
    <w:rsid w:val="00F535DE"/>
    <w:rsid w:val="00F55043"/>
    <w:rsid w:val="00F57198"/>
    <w:rsid w:val="00F63CB5"/>
    <w:rsid w:val="00F65D80"/>
    <w:rsid w:val="00F7039A"/>
    <w:rsid w:val="00F71261"/>
    <w:rsid w:val="00F74A9C"/>
    <w:rsid w:val="00F770EC"/>
    <w:rsid w:val="00F7776A"/>
    <w:rsid w:val="00F86029"/>
    <w:rsid w:val="00F87873"/>
    <w:rsid w:val="00F936A8"/>
    <w:rsid w:val="00F9473B"/>
    <w:rsid w:val="00F95647"/>
    <w:rsid w:val="00FA7729"/>
    <w:rsid w:val="00FB1AB4"/>
    <w:rsid w:val="00FB2A20"/>
    <w:rsid w:val="00FB2C86"/>
    <w:rsid w:val="00FB5098"/>
    <w:rsid w:val="00FB5530"/>
    <w:rsid w:val="00FB7D3A"/>
    <w:rsid w:val="00FC4373"/>
    <w:rsid w:val="00FC741B"/>
    <w:rsid w:val="00FC7C26"/>
    <w:rsid w:val="00FD0995"/>
    <w:rsid w:val="00FD4916"/>
    <w:rsid w:val="00FD6E30"/>
    <w:rsid w:val="00FD7D18"/>
    <w:rsid w:val="00FE06BE"/>
    <w:rsid w:val="00FE26D3"/>
    <w:rsid w:val="00FE6BAA"/>
    <w:rsid w:val="00FE7CB2"/>
    <w:rsid w:val="00FF2E8A"/>
    <w:rsid w:val="00FF47E6"/>
    <w:rsid w:val="01B97F5E"/>
    <w:rsid w:val="01D67219"/>
    <w:rsid w:val="02670DCF"/>
    <w:rsid w:val="034D2939"/>
    <w:rsid w:val="043164D2"/>
    <w:rsid w:val="04DB69C7"/>
    <w:rsid w:val="056C2AC8"/>
    <w:rsid w:val="078D3A1F"/>
    <w:rsid w:val="08320F44"/>
    <w:rsid w:val="08D94A4A"/>
    <w:rsid w:val="09332050"/>
    <w:rsid w:val="09652865"/>
    <w:rsid w:val="097D3D26"/>
    <w:rsid w:val="0ADA2F69"/>
    <w:rsid w:val="0AE10BBF"/>
    <w:rsid w:val="0B4B7E79"/>
    <w:rsid w:val="0B6435E2"/>
    <w:rsid w:val="0BBA5614"/>
    <w:rsid w:val="0BBD0185"/>
    <w:rsid w:val="0C1129BA"/>
    <w:rsid w:val="0D011260"/>
    <w:rsid w:val="0DC9777B"/>
    <w:rsid w:val="0E572FD9"/>
    <w:rsid w:val="0F5D4929"/>
    <w:rsid w:val="10F22B45"/>
    <w:rsid w:val="11EA4A5D"/>
    <w:rsid w:val="123426ED"/>
    <w:rsid w:val="12D60815"/>
    <w:rsid w:val="1330335A"/>
    <w:rsid w:val="13492913"/>
    <w:rsid w:val="140915D6"/>
    <w:rsid w:val="14AB42D7"/>
    <w:rsid w:val="159863B1"/>
    <w:rsid w:val="1614131D"/>
    <w:rsid w:val="16585639"/>
    <w:rsid w:val="16B6476F"/>
    <w:rsid w:val="17886E94"/>
    <w:rsid w:val="18987127"/>
    <w:rsid w:val="19404D95"/>
    <w:rsid w:val="1986454E"/>
    <w:rsid w:val="19BD2F50"/>
    <w:rsid w:val="19D653D3"/>
    <w:rsid w:val="19E576EB"/>
    <w:rsid w:val="1A9F3EA8"/>
    <w:rsid w:val="1AE557D7"/>
    <w:rsid w:val="1AF62448"/>
    <w:rsid w:val="1B3721C8"/>
    <w:rsid w:val="1CE617B0"/>
    <w:rsid w:val="1D475092"/>
    <w:rsid w:val="1E316639"/>
    <w:rsid w:val="1E901E0D"/>
    <w:rsid w:val="1EFC4C0E"/>
    <w:rsid w:val="1F3709E9"/>
    <w:rsid w:val="1F5511FE"/>
    <w:rsid w:val="1F791B4A"/>
    <w:rsid w:val="1FF922F7"/>
    <w:rsid w:val="203A6C9D"/>
    <w:rsid w:val="213D7067"/>
    <w:rsid w:val="22317971"/>
    <w:rsid w:val="235D1A58"/>
    <w:rsid w:val="23893375"/>
    <w:rsid w:val="23D049E7"/>
    <w:rsid w:val="24F31A54"/>
    <w:rsid w:val="257B7155"/>
    <w:rsid w:val="262E49A9"/>
    <w:rsid w:val="291C47AB"/>
    <w:rsid w:val="299E589B"/>
    <w:rsid w:val="29DD2289"/>
    <w:rsid w:val="2A0674B9"/>
    <w:rsid w:val="2A19342E"/>
    <w:rsid w:val="2A9E6EDA"/>
    <w:rsid w:val="2AC259E9"/>
    <w:rsid w:val="2B5F5209"/>
    <w:rsid w:val="2DCC4449"/>
    <w:rsid w:val="2E6A0BA9"/>
    <w:rsid w:val="2EA42382"/>
    <w:rsid w:val="2F033AB7"/>
    <w:rsid w:val="2F2B399A"/>
    <w:rsid w:val="2F513BD3"/>
    <w:rsid w:val="2FC604F2"/>
    <w:rsid w:val="2FDB716E"/>
    <w:rsid w:val="30512DC8"/>
    <w:rsid w:val="305807BF"/>
    <w:rsid w:val="30BA0FA5"/>
    <w:rsid w:val="30D301F4"/>
    <w:rsid w:val="32697E49"/>
    <w:rsid w:val="34FC3E0F"/>
    <w:rsid w:val="355276CD"/>
    <w:rsid w:val="37875802"/>
    <w:rsid w:val="39331B36"/>
    <w:rsid w:val="394C2E8B"/>
    <w:rsid w:val="397A5D84"/>
    <w:rsid w:val="3A38257A"/>
    <w:rsid w:val="3A773D1D"/>
    <w:rsid w:val="3AA47EC1"/>
    <w:rsid w:val="3B337E5E"/>
    <w:rsid w:val="3B49480F"/>
    <w:rsid w:val="3BF25DCE"/>
    <w:rsid w:val="3C0C2E90"/>
    <w:rsid w:val="3C153A08"/>
    <w:rsid w:val="3D6F398A"/>
    <w:rsid w:val="3D9E1027"/>
    <w:rsid w:val="3E386E52"/>
    <w:rsid w:val="3E6447D3"/>
    <w:rsid w:val="3FCB4391"/>
    <w:rsid w:val="407103DB"/>
    <w:rsid w:val="41DD26A1"/>
    <w:rsid w:val="431A4603"/>
    <w:rsid w:val="432D5ADB"/>
    <w:rsid w:val="436314FD"/>
    <w:rsid w:val="455B5C08"/>
    <w:rsid w:val="459E4A6E"/>
    <w:rsid w:val="45E5444B"/>
    <w:rsid w:val="45EF52CA"/>
    <w:rsid w:val="45F10943"/>
    <w:rsid w:val="46024881"/>
    <w:rsid w:val="46432AD9"/>
    <w:rsid w:val="47596A0D"/>
    <w:rsid w:val="476475F1"/>
    <w:rsid w:val="48C6265B"/>
    <w:rsid w:val="491679AE"/>
    <w:rsid w:val="4CC8541E"/>
    <w:rsid w:val="4D7C7F66"/>
    <w:rsid w:val="4E497F1B"/>
    <w:rsid w:val="4E72372F"/>
    <w:rsid w:val="4E826BA1"/>
    <w:rsid w:val="4FB262DF"/>
    <w:rsid w:val="502913D8"/>
    <w:rsid w:val="506A1CDA"/>
    <w:rsid w:val="513145D7"/>
    <w:rsid w:val="516F62C4"/>
    <w:rsid w:val="51DB264E"/>
    <w:rsid w:val="52013E99"/>
    <w:rsid w:val="52432C25"/>
    <w:rsid w:val="52884ADC"/>
    <w:rsid w:val="54EF45B2"/>
    <w:rsid w:val="551F080C"/>
    <w:rsid w:val="561C68FE"/>
    <w:rsid w:val="56FA05E0"/>
    <w:rsid w:val="57205312"/>
    <w:rsid w:val="575B4970"/>
    <w:rsid w:val="58935F89"/>
    <w:rsid w:val="58953240"/>
    <w:rsid w:val="58EA0B58"/>
    <w:rsid w:val="597102CD"/>
    <w:rsid w:val="59BE0DE3"/>
    <w:rsid w:val="59FD190B"/>
    <w:rsid w:val="5AA42EE1"/>
    <w:rsid w:val="5AB20E18"/>
    <w:rsid w:val="5ADD04B0"/>
    <w:rsid w:val="5B6068E3"/>
    <w:rsid w:val="5E127A94"/>
    <w:rsid w:val="5EC2103E"/>
    <w:rsid w:val="5F3651D2"/>
    <w:rsid w:val="5F577D10"/>
    <w:rsid w:val="61CB6793"/>
    <w:rsid w:val="61E0223F"/>
    <w:rsid w:val="62275A9D"/>
    <w:rsid w:val="62A274F4"/>
    <w:rsid w:val="63473BF7"/>
    <w:rsid w:val="64490C49"/>
    <w:rsid w:val="65F938CF"/>
    <w:rsid w:val="66832C22"/>
    <w:rsid w:val="66910CA5"/>
    <w:rsid w:val="67451519"/>
    <w:rsid w:val="67D77C40"/>
    <w:rsid w:val="68706054"/>
    <w:rsid w:val="688A0DE6"/>
    <w:rsid w:val="68917B90"/>
    <w:rsid w:val="68A33FC6"/>
    <w:rsid w:val="68F02F9E"/>
    <w:rsid w:val="691D1DC4"/>
    <w:rsid w:val="69CF4947"/>
    <w:rsid w:val="6A4626EF"/>
    <w:rsid w:val="6A7C706D"/>
    <w:rsid w:val="6ADF74D7"/>
    <w:rsid w:val="6B0074AE"/>
    <w:rsid w:val="6BCA186A"/>
    <w:rsid w:val="6C0563E5"/>
    <w:rsid w:val="6C575740"/>
    <w:rsid w:val="6C6C0C3F"/>
    <w:rsid w:val="6C89702F"/>
    <w:rsid w:val="6C917B8F"/>
    <w:rsid w:val="6C942274"/>
    <w:rsid w:val="6D3C0545"/>
    <w:rsid w:val="6DAD049D"/>
    <w:rsid w:val="6ECD387A"/>
    <w:rsid w:val="6F2F03DB"/>
    <w:rsid w:val="6FF139B8"/>
    <w:rsid w:val="70064409"/>
    <w:rsid w:val="72127AC6"/>
    <w:rsid w:val="73765CE2"/>
    <w:rsid w:val="743442CC"/>
    <w:rsid w:val="748E5C99"/>
    <w:rsid w:val="74BF2C7A"/>
    <w:rsid w:val="75682D8E"/>
    <w:rsid w:val="75A31161"/>
    <w:rsid w:val="75D25B10"/>
    <w:rsid w:val="76442929"/>
    <w:rsid w:val="76C27A63"/>
    <w:rsid w:val="795409C4"/>
    <w:rsid w:val="799029F2"/>
    <w:rsid w:val="7AF60F49"/>
    <w:rsid w:val="7AF67F85"/>
    <w:rsid w:val="7BBE3424"/>
    <w:rsid w:val="7E0328BC"/>
    <w:rsid w:val="7FAC1FBF"/>
    <w:rsid w:val="7FF57E3F"/>
    <w:rsid w:val="7FF90700"/>
    <w:rsid w:val="AC7FA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1"/>
    <w:qFormat/>
    <w:uiPriority w:val="99"/>
    <w:pPr>
      <w:keepNext/>
      <w:keepLines/>
      <w:spacing w:before="340" w:after="330" w:line="578" w:lineRule="auto"/>
      <w:outlineLvl w:val="0"/>
    </w:pPr>
    <w:rPr>
      <w:rFonts w:ascii="Calibri" w:hAnsi="Calibri" w:eastAsia="宋体" w:cs="Times New Roman"/>
      <w:b/>
      <w:bCs/>
      <w:kern w:val="44"/>
      <w:sz w:val="44"/>
      <w:szCs w:val="44"/>
    </w:rPr>
  </w:style>
  <w:style w:type="paragraph" w:styleId="4">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8"/>
    <w:semiHidden/>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1"/>
    <w:qFormat/>
    <w:uiPriority w:val="0"/>
  </w:style>
  <w:style w:type="paragraph" w:styleId="6">
    <w:name w:val="Normal Indent"/>
    <w:basedOn w:val="1"/>
    <w:next w:val="7"/>
    <w:qFormat/>
    <w:uiPriority w:val="0"/>
    <w:pPr>
      <w:ind w:firstLine="420"/>
    </w:pPr>
  </w:style>
  <w:style w:type="paragraph" w:styleId="7">
    <w:name w:val="envelope return"/>
    <w:basedOn w:val="1"/>
    <w:qFormat/>
    <w:uiPriority w:val="0"/>
    <w:pPr>
      <w:snapToGrid w:val="0"/>
    </w:pPr>
    <w:rPr>
      <w:rFonts w:ascii="Arial" w:hAnsi="Arial" w:eastAsia="仿宋_GB2312"/>
      <w:sz w:val="32"/>
    </w:rPr>
  </w:style>
  <w:style w:type="paragraph" w:styleId="8">
    <w:name w:val="annotation text"/>
    <w:basedOn w:val="1"/>
    <w:semiHidden/>
    <w:unhideWhenUsed/>
    <w:qFormat/>
    <w:uiPriority w:val="99"/>
    <w:pPr>
      <w:jc w:val="left"/>
    </w:pPr>
  </w:style>
  <w:style w:type="paragraph" w:styleId="9">
    <w:name w:val="toc 3"/>
    <w:basedOn w:val="1"/>
    <w:next w:val="1"/>
    <w:unhideWhenUsed/>
    <w:qFormat/>
    <w:uiPriority w:val="39"/>
    <w:pPr>
      <w:ind w:left="840" w:leftChars="400"/>
    </w:pPr>
  </w:style>
  <w:style w:type="paragraph" w:styleId="10">
    <w:name w:val="Date"/>
    <w:basedOn w:val="1"/>
    <w:next w:val="1"/>
    <w:link w:val="46"/>
    <w:semiHidden/>
    <w:unhideWhenUsed/>
    <w:qFormat/>
    <w:uiPriority w:val="99"/>
    <w:pPr>
      <w:ind w:left="100" w:leftChars="2500"/>
    </w:pPr>
  </w:style>
  <w:style w:type="paragraph" w:styleId="11">
    <w:name w:val="Body Text Indent 2"/>
    <w:basedOn w:val="1"/>
    <w:link w:val="39"/>
    <w:qFormat/>
    <w:uiPriority w:val="0"/>
    <w:pPr>
      <w:spacing w:line="276" w:lineRule="auto"/>
      <w:ind w:firstLine="420" w:firstLineChars="200"/>
    </w:pPr>
    <w:rPr>
      <w:rFonts w:ascii="宋体" w:hAnsi="宋体" w:eastAsia="宋体" w:cs="Times New Roman"/>
      <w:snapToGrid w:val="0"/>
      <w:kern w:val="0"/>
      <w:szCs w:val="24"/>
    </w:rPr>
  </w:style>
  <w:style w:type="paragraph" w:styleId="12">
    <w:name w:val="Balloon Text"/>
    <w:basedOn w:val="1"/>
    <w:link w:val="27"/>
    <w:semiHidden/>
    <w:unhideWhenUsed/>
    <w:qFormat/>
    <w:uiPriority w:val="99"/>
    <w:rPr>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pPr>
      <w:tabs>
        <w:tab w:val="right" w:leader="dot" w:pos="9344"/>
      </w:tabs>
    </w:pPr>
    <w:rPr>
      <w:rFonts w:ascii="宋体" w:hAnsi="宋体" w:eastAsia="宋体" w:cs="宋体"/>
      <w:color w:val="000000" w:themeColor="text1"/>
      <w14:textFill>
        <w14:solidFill>
          <w14:schemeClr w14:val="tx1"/>
        </w14:solidFill>
      </w14:textFill>
    </w:rPr>
  </w:style>
  <w:style w:type="paragraph" w:styleId="16">
    <w:name w:val="Subtitle"/>
    <w:basedOn w:val="1"/>
    <w:next w:val="1"/>
    <w:link w:val="35"/>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7">
    <w:name w:val="toc 2"/>
    <w:basedOn w:val="1"/>
    <w:next w:val="1"/>
    <w:unhideWhenUsed/>
    <w:qFormat/>
    <w:uiPriority w:val="39"/>
    <w:pPr>
      <w:tabs>
        <w:tab w:val="right" w:leader="dot" w:pos="9344"/>
      </w:tabs>
      <w:ind w:left="420" w:leftChars="200"/>
    </w:pPr>
  </w:style>
  <w:style w:type="paragraph" w:styleId="1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36"/>
    <w:qFormat/>
    <w:uiPriority w:val="10"/>
    <w:pPr>
      <w:spacing w:before="240" w:after="60"/>
      <w:jc w:val="center"/>
      <w:outlineLvl w:val="0"/>
    </w:pPr>
    <w:rPr>
      <w:rFonts w:eastAsia="宋体" w:asciiTheme="majorHAnsi" w:hAnsiTheme="majorHAnsi" w:cstheme="majorBidi"/>
      <w:b/>
      <w:bCs/>
      <w:sz w:val="32"/>
      <w:szCs w:val="32"/>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字符"/>
    <w:basedOn w:val="22"/>
    <w:link w:val="14"/>
    <w:qFormat/>
    <w:uiPriority w:val="99"/>
    <w:rPr>
      <w:sz w:val="18"/>
      <w:szCs w:val="18"/>
    </w:rPr>
  </w:style>
  <w:style w:type="character" w:customStyle="1" w:styleId="26">
    <w:name w:val="页脚 字符"/>
    <w:basedOn w:val="22"/>
    <w:link w:val="13"/>
    <w:qFormat/>
    <w:uiPriority w:val="99"/>
    <w:rPr>
      <w:sz w:val="18"/>
      <w:szCs w:val="18"/>
    </w:rPr>
  </w:style>
  <w:style w:type="character" w:customStyle="1" w:styleId="27">
    <w:name w:val="批注框文本 字符"/>
    <w:basedOn w:val="22"/>
    <w:link w:val="12"/>
    <w:semiHidden/>
    <w:qFormat/>
    <w:uiPriority w:val="99"/>
    <w:rPr>
      <w:sz w:val="18"/>
      <w:szCs w:val="18"/>
    </w:rPr>
  </w:style>
  <w:style w:type="paragraph" w:styleId="28">
    <w:name w:val="List Paragraph"/>
    <w:basedOn w:val="1"/>
    <w:qFormat/>
    <w:uiPriority w:val="34"/>
    <w:pPr>
      <w:ind w:firstLine="420" w:firstLineChars="200"/>
    </w:pPr>
  </w:style>
  <w:style w:type="paragraph" w:customStyle="1" w:styleId="2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0">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31">
    <w:name w:val="标题 1 字符"/>
    <w:basedOn w:val="22"/>
    <w:link w:val="3"/>
    <w:qFormat/>
    <w:uiPriority w:val="99"/>
    <w:rPr>
      <w:rFonts w:ascii="Calibri" w:hAnsi="Calibri" w:eastAsia="宋体" w:cs="Times New Roman"/>
      <w:b/>
      <w:bCs/>
      <w:kern w:val="44"/>
      <w:sz w:val="44"/>
      <w:szCs w:val="44"/>
    </w:rPr>
  </w:style>
  <w:style w:type="paragraph" w:styleId="3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character" w:customStyle="1" w:styleId="34">
    <w:name w:val="不明显强调1"/>
    <w:basedOn w:val="22"/>
    <w:qFormat/>
    <w:uiPriority w:val="19"/>
    <w:rPr>
      <w:i/>
      <w:iCs/>
      <w:color w:val="808080" w:themeColor="text1" w:themeTint="80"/>
      <w14:textFill>
        <w14:solidFill>
          <w14:schemeClr w14:val="tx1">
            <w14:lumMod w14:val="50000"/>
            <w14:lumOff w14:val="50000"/>
          </w14:schemeClr>
        </w14:solidFill>
      </w14:textFill>
    </w:rPr>
  </w:style>
  <w:style w:type="character" w:customStyle="1" w:styleId="35">
    <w:name w:val="副标题 字符"/>
    <w:basedOn w:val="22"/>
    <w:link w:val="16"/>
    <w:qFormat/>
    <w:uiPriority w:val="11"/>
    <w:rPr>
      <w:rFonts w:eastAsia="宋体" w:asciiTheme="majorHAnsi" w:hAnsiTheme="majorHAnsi" w:cstheme="majorBidi"/>
      <w:b/>
      <w:bCs/>
      <w:kern w:val="28"/>
      <w:sz w:val="32"/>
      <w:szCs w:val="32"/>
    </w:rPr>
  </w:style>
  <w:style w:type="character" w:customStyle="1" w:styleId="36">
    <w:name w:val="标题 字符"/>
    <w:basedOn w:val="22"/>
    <w:link w:val="19"/>
    <w:qFormat/>
    <w:uiPriority w:val="10"/>
    <w:rPr>
      <w:rFonts w:eastAsia="宋体" w:asciiTheme="majorHAnsi" w:hAnsiTheme="majorHAnsi" w:cstheme="majorBidi"/>
      <w:b/>
      <w:bCs/>
      <w:sz w:val="32"/>
      <w:szCs w:val="32"/>
    </w:rPr>
  </w:style>
  <w:style w:type="character" w:customStyle="1" w:styleId="37">
    <w:name w:val="标题 2 字符"/>
    <w:basedOn w:val="22"/>
    <w:link w:val="4"/>
    <w:qFormat/>
    <w:uiPriority w:val="9"/>
    <w:rPr>
      <w:rFonts w:asciiTheme="majorHAnsi" w:hAnsiTheme="majorHAnsi" w:eastAsiaTheme="majorEastAsia" w:cstheme="majorBidi"/>
      <w:b/>
      <w:bCs/>
      <w:sz w:val="32"/>
      <w:szCs w:val="32"/>
    </w:rPr>
  </w:style>
  <w:style w:type="character" w:customStyle="1" w:styleId="38">
    <w:name w:val="标题 3 字符"/>
    <w:basedOn w:val="22"/>
    <w:link w:val="5"/>
    <w:semiHidden/>
    <w:qFormat/>
    <w:uiPriority w:val="9"/>
    <w:rPr>
      <w:b/>
      <w:bCs/>
      <w:sz w:val="32"/>
      <w:szCs w:val="32"/>
    </w:rPr>
  </w:style>
  <w:style w:type="character" w:customStyle="1" w:styleId="39">
    <w:name w:val="正文文本缩进 2 字符"/>
    <w:basedOn w:val="22"/>
    <w:link w:val="11"/>
    <w:qFormat/>
    <w:uiPriority w:val="0"/>
    <w:rPr>
      <w:rFonts w:ascii="宋体" w:hAnsi="宋体" w:eastAsia="宋体" w:cs="Times New Roman"/>
      <w:snapToGrid w:val="0"/>
      <w:kern w:val="0"/>
      <w:szCs w:val="24"/>
    </w:rPr>
  </w:style>
  <w:style w:type="paragraph" w:customStyle="1" w:styleId="40">
    <w:name w:val="三级条标题"/>
    <w:basedOn w:val="1"/>
    <w:next w:val="1"/>
    <w:qFormat/>
    <w:uiPriority w:val="0"/>
    <w:pPr>
      <w:widowControl/>
      <w:ind w:left="855"/>
      <w:outlineLvl w:val="4"/>
    </w:pPr>
    <w:rPr>
      <w:rFonts w:ascii="黑体" w:hAnsi="Times New Roman" w:eastAsia="黑体" w:cs="Times New Roman"/>
      <w:kern w:val="0"/>
      <w:szCs w:val="20"/>
    </w:rPr>
  </w:style>
  <w:style w:type="paragraph" w:customStyle="1" w:styleId="41">
    <w:name w:val="附录章标题"/>
    <w:next w:val="1"/>
    <w:qFormat/>
    <w:uiPriority w:val="0"/>
    <w:pPr>
      <w:wordWrap w:val="0"/>
      <w:overflowPunct w:val="0"/>
      <w:autoSpaceDE w:val="0"/>
      <w:spacing w:beforeLines="50" w:afterLines="50"/>
      <w:ind w:left="4047"/>
      <w:jc w:val="both"/>
      <w:textAlignment w:val="baseline"/>
      <w:outlineLvl w:val="1"/>
    </w:pPr>
    <w:rPr>
      <w:rFonts w:ascii="黑体" w:hAnsi="Times New Roman" w:eastAsia="黑体" w:cs="Times New Roman"/>
      <w:kern w:val="21"/>
      <w:sz w:val="21"/>
      <w:lang w:val="en-US" w:eastAsia="zh-CN" w:bidi="ar-SA"/>
    </w:rPr>
  </w:style>
  <w:style w:type="paragraph" w:customStyle="1" w:styleId="42">
    <w:name w:val="附录表标题"/>
    <w:next w:val="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4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character" w:customStyle="1" w:styleId="44">
    <w:name w:val="high-light-bg4"/>
    <w:basedOn w:val="22"/>
    <w:qFormat/>
    <w:uiPriority w:val="0"/>
  </w:style>
  <w:style w:type="character" w:customStyle="1" w:styleId="45">
    <w:name w:val="ordinary-span-edit2"/>
    <w:basedOn w:val="22"/>
    <w:qFormat/>
    <w:uiPriority w:val="0"/>
  </w:style>
  <w:style w:type="character" w:customStyle="1" w:styleId="46">
    <w:name w:val="日期 字符"/>
    <w:basedOn w:val="22"/>
    <w:link w:val="10"/>
    <w:semiHidden/>
    <w:qFormat/>
    <w:uiPriority w:val="99"/>
  </w:style>
  <w:style w:type="paragraph" w:customStyle="1" w:styleId="47">
    <w:name w:val="正文1"/>
    <w:qFormat/>
    <w:uiPriority w:val="0"/>
    <w:pPr>
      <w:jc w:val="both"/>
    </w:pPr>
    <w:rPr>
      <w:rFonts w:ascii="Calibri" w:hAnsi="Calibri" w:eastAsia="宋体" w:cs="宋体"/>
      <w:kern w:val="2"/>
      <w:sz w:val="21"/>
      <w:szCs w:val="21"/>
      <w:lang w:val="en-US" w:eastAsia="zh-CN" w:bidi="ar-SA"/>
    </w:rPr>
  </w:style>
  <w:style w:type="character" w:customStyle="1" w:styleId="48">
    <w:name w:val="dash6b63_6587__char1"/>
    <w:qFormat/>
    <w:uiPriority w:val="0"/>
    <w:rPr>
      <w:rFonts w:hint="default" w:ascii="Times New Roman" w:hAnsi="Times New Roman" w:cs="Times New Roman"/>
      <w:sz w:val="20"/>
      <w:szCs w:val="20"/>
      <w:u w:val="none"/>
    </w:rPr>
  </w:style>
  <w:style w:type="paragraph" w:customStyle="1" w:styleId="49">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50">
    <w:name w:val="章标题"/>
    <w:next w:val="5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52">
    <w:name w:val="一级条标题"/>
    <w:next w:val="5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3">
    <w:name w:val="二级无"/>
    <w:basedOn w:val="54"/>
    <w:qFormat/>
    <w:uiPriority w:val="0"/>
    <w:pPr>
      <w:spacing w:before="0" w:beforeLines="0" w:after="0" w:afterLines="0"/>
    </w:pPr>
    <w:rPr>
      <w:rFonts w:ascii="宋体" w:eastAsia="宋体"/>
    </w:rPr>
  </w:style>
  <w:style w:type="paragraph" w:customStyle="1" w:styleId="54">
    <w:name w:val="二级条标题"/>
    <w:basedOn w:val="52"/>
    <w:next w:val="51"/>
    <w:qFormat/>
    <w:uiPriority w:val="0"/>
    <w:pPr>
      <w:numPr>
        <w:ilvl w:val="2"/>
      </w:numPr>
      <w:spacing w:before="50" w:after="50"/>
      <w:outlineLvl w:val="3"/>
    </w:pPr>
  </w:style>
  <w:style w:type="paragraph" w:customStyle="1" w:styleId="55">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57">
    <w:name w:val="注：（正文）"/>
    <w:basedOn w:val="58"/>
    <w:next w:val="51"/>
    <w:qFormat/>
    <w:uiPriority w:val="0"/>
  </w:style>
  <w:style w:type="paragraph" w:customStyle="1" w:styleId="58">
    <w:name w:val="注："/>
    <w:next w:val="51"/>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59">
    <w:name w:val="附录标识"/>
    <w:basedOn w:val="1"/>
    <w:next w:val="51"/>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0">
    <w:name w:val="正文表标题"/>
    <w:next w:val="51"/>
    <w:qFormat/>
    <w:uiPriority w:val="0"/>
    <w:pPr>
      <w:numPr>
        <w:ilvl w:val="0"/>
        <w:numId w:val="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1">
    <w:name w:val="Other|1"/>
    <w:basedOn w:val="1"/>
    <w:qFormat/>
    <w:uiPriority w:val="0"/>
    <w:rPr>
      <w:rFonts w:ascii="宋体" w:hAnsi="宋体" w:cs="宋体"/>
      <w:sz w:val="19"/>
      <w:szCs w:val="19"/>
      <w:lang w:val="zh-CN" w:bidi="zh-CN"/>
    </w:rPr>
  </w:style>
  <w:style w:type="paragraph" w:customStyle="1" w:styleId="62">
    <w:name w:val="终结线"/>
    <w:basedOn w:val="1"/>
    <w:qFormat/>
    <w:uiPriority w:val="0"/>
    <w:pPr>
      <w:framePr w:hSpace="181" w:vSpace="181" w:wrap="around" w:vAnchor="text" w:hAnchor="margin" w:xAlign="center" w:y="285"/>
    </w:pPr>
  </w:style>
  <w:style w:type="paragraph" w:customStyle="1" w:styleId="63">
    <w:name w:val="标准文件_术语条一"/>
    <w:basedOn w:val="64"/>
    <w:next w:val="67"/>
    <w:qFormat/>
    <w:uiPriority w:val="0"/>
  </w:style>
  <w:style w:type="paragraph" w:customStyle="1" w:styleId="64">
    <w:name w:val="标准文件_一级无标题"/>
    <w:basedOn w:val="65"/>
    <w:qFormat/>
    <w:uiPriority w:val="0"/>
    <w:pPr>
      <w:spacing w:before="0" w:beforeLines="0" w:after="0" w:afterLines="0"/>
      <w:outlineLvl w:val="9"/>
    </w:pPr>
    <w:rPr>
      <w:rFonts w:ascii="宋体" w:eastAsia="宋体"/>
    </w:rPr>
  </w:style>
  <w:style w:type="paragraph" w:customStyle="1" w:styleId="65">
    <w:name w:val="标准文件_一级条标题"/>
    <w:basedOn w:val="66"/>
    <w:next w:val="67"/>
    <w:qFormat/>
    <w:uiPriority w:val="0"/>
    <w:pPr>
      <w:numPr>
        <w:ilvl w:val="2"/>
      </w:numPr>
      <w:spacing w:before="50" w:beforeLines="50" w:after="50" w:afterLines="50"/>
      <w:outlineLvl w:val="1"/>
    </w:pPr>
  </w:style>
  <w:style w:type="paragraph" w:customStyle="1" w:styleId="66">
    <w:name w:val="标准文件_章标题"/>
    <w:next w:val="67"/>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7">
    <w:name w:val="标准文件_段"/>
    <w:link w:val="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8">
    <w:name w:val="标准文件_二级无标题"/>
    <w:basedOn w:val="69"/>
    <w:qFormat/>
    <w:uiPriority w:val="0"/>
    <w:pPr>
      <w:spacing w:before="0" w:beforeLines="0" w:after="0" w:afterLines="0"/>
      <w:outlineLvl w:val="9"/>
    </w:pPr>
    <w:rPr>
      <w:rFonts w:ascii="宋体" w:eastAsia="宋体"/>
    </w:rPr>
  </w:style>
  <w:style w:type="paragraph" w:customStyle="1" w:styleId="69">
    <w:name w:val="标准文件_二级条标题"/>
    <w:next w:val="67"/>
    <w:qFormat/>
    <w:uiPriority w:val="0"/>
    <w:pPr>
      <w:widowControl w:val="0"/>
      <w:numPr>
        <w:ilvl w:val="3"/>
        <w:numId w:val="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70">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2">
    <w:name w:val="说明文字"/>
    <w:basedOn w:val="1"/>
    <w:qFormat/>
    <w:uiPriority w:val="0"/>
  </w:style>
  <w:style w:type="paragraph" w:customStyle="1" w:styleId="73">
    <w:name w:val="标准文件_附录一级条标题"/>
    <w:next w:val="67"/>
    <w:qFormat/>
    <w:uiPriority w:val="0"/>
    <w:pPr>
      <w:widowControl w:val="0"/>
      <w:numPr>
        <w:ilvl w:val="1"/>
        <w:numId w:val="6"/>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4">
    <w:name w:val="标准文件_附录图标题"/>
    <w:next w:val="67"/>
    <w:qFormat/>
    <w:uiPriority w:val="0"/>
    <w:pPr>
      <w:numPr>
        <w:ilvl w:val="1"/>
        <w:numId w:val="9"/>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75">
    <w:name w:val="标准文件_参考文献标题"/>
    <w:basedOn w:val="1"/>
    <w:next w:val="1"/>
    <w:qFormat/>
    <w:uiPriority w:val="0"/>
    <w:pPr>
      <w:widowControl/>
      <w:shd w:val="clear" w:color="FFFFFF" w:fill="FFFFFF"/>
      <w:spacing w:before="580" w:after="50" w:afterLines="50"/>
      <w:jc w:val="center"/>
      <w:outlineLvl w:val="0"/>
    </w:pPr>
    <w:rPr>
      <w:rFonts w:ascii="黑体" w:eastAsia="黑体"/>
      <w:kern w:val="0"/>
    </w:rPr>
  </w:style>
  <w:style w:type="paragraph" w:customStyle="1" w:styleId="76">
    <w:name w:val="标准文件_表格"/>
    <w:basedOn w:val="67"/>
    <w:qFormat/>
    <w:uiPriority w:val="0"/>
    <w:pPr>
      <w:ind w:firstLine="0" w:firstLineChars="0"/>
      <w:jc w:val="center"/>
    </w:pPr>
    <w:rPr>
      <w:sz w:val="18"/>
    </w:rPr>
  </w:style>
  <w:style w:type="paragraph" w:customStyle="1" w:styleId="77">
    <w:name w:val="标准文件_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78">
    <w:name w:val="标准文件_封面发布日期"/>
    <w:basedOn w:val="1"/>
    <w:qFormat/>
    <w:uiPriority w:val="0"/>
    <w:pPr>
      <w:adjustRightInd w:val="0"/>
      <w:spacing w:line="310" w:lineRule="exact"/>
    </w:pPr>
    <w:rPr>
      <w:rFonts w:ascii="黑体" w:hAnsi="Calibri" w:eastAsia="黑体" w:cs="Times New Roman"/>
      <w:kern w:val="0"/>
      <w:sz w:val="28"/>
      <w:szCs w:val="21"/>
    </w:rPr>
  </w:style>
  <w:style w:type="paragraph" w:customStyle="1" w:styleId="79">
    <w:name w:val="标准文件_三级条标题"/>
    <w:basedOn w:val="69"/>
    <w:next w:val="67"/>
    <w:qFormat/>
    <w:uiPriority w:val="0"/>
    <w:pPr>
      <w:widowControl/>
      <w:numPr>
        <w:ilvl w:val="0"/>
        <w:numId w:val="0"/>
      </w:numPr>
      <w:outlineLvl w:val="3"/>
    </w:pPr>
  </w:style>
  <w:style w:type="paragraph" w:customStyle="1" w:styleId="80">
    <w:name w:val="标准文件_四级条标题"/>
    <w:next w:val="67"/>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81">
    <w:name w:val="标准文件_五级条标题"/>
    <w:next w:val="67"/>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82">
    <w:name w:val="标准文件_数字编号列项（二级）"/>
    <w:qFormat/>
    <w:uiPriority w:val="0"/>
    <w:pPr>
      <w:numPr>
        <w:ilvl w:val="1"/>
        <w:numId w:val="11"/>
      </w:numPr>
      <w:jc w:val="both"/>
    </w:pPr>
    <w:rPr>
      <w:rFonts w:ascii="宋体" w:hAnsi="Times New Roman" w:eastAsia="宋体" w:cs="Times New Roman"/>
      <w:sz w:val="21"/>
      <w:lang w:val="en-US" w:eastAsia="zh-CN" w:bidi="ar-SA"/>
    </w:rPr>
  </w:style>
  <w:style w:type="paragraph" w:customStyle="1" w:styleId="83">
    <w:name w:val="标准文件_编号列项（三级）"/>
    <w:qFormat/>
    <w:uiPriority w:val="0"/>
    <w:pPr>
      <w:numPr>
        <w:ilvl w:val="2"/>
        <w:numId w:val="11"/>
      </w:numPr>
    </w:pPr>
    <w:rPr>
      <w:rFonts w:ascii="宋体" w:hAnsi="Times New Roman" w:eastAsia="宋体" w:cs="Times New Roman"/>
      <w:sz w:val="21"/>
      <w:lang w:val="en-US" w:eastAsia="zh-CN" w:bidi="ar-SA"/>
    </w:rPr>
  </w:style>
  <w:style w:type="paragraph" w:customStyle="1" w:styleId="84">
    <w:name w:val="标准文件_一级项"/>
    <w:qFormat/>
    <w:uiPriority w:val="0"/>
    <w:pPr>
      <w:tabs>
        <w:tab w:val="left" w:pos="851"/>
      </w:tabs>
      <w:ind w:left="851" w:hanging="426"/>
    </w:pPr>
    <w:rPr>
      <w:rFonts w:ascii="宋体" w:hAnsi="Times New Roman" w:eastAsia="宋体" w:cs="Times New Roman"/>
      <w:sz w:val="21"/>
      <w:lang w:val="en-US" w:eastAsia="zh-CN" w:bidi="ar-SA"/>
    </w:rPr>
  </w:style>
  <w:style w:type="paragraph" w:customStyle="1" w:styleId="85">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86">
    <w:name w:val="标准文件_三级无标题"/>
    <w:basedOn w:val="79"/>
    <w:qFormat/>
    <w:uiPriority w:val="0"/>
    <w:pPr>
      <w:spacing w:before="0" w:beforeLines="0" w:after="0" w:afterLines="0"/>
      <w:outlineLvl w:val="9"/>
    </w:pPr>
    <w:rPr>
      <w:rFonts w:ascii="宋体" w:eastAsia="宋体"/>
    </w:rPr>
  </w:style>
  <w:style w:type="paragraph" w:customStyle="1" w:styleId="87">
    <w:name w:val="标准文件_三级项"/>
    <w:basedOn w:val="1"/>
    <w:qFormat/>
    <w:uiPriority w:val="0"/>
    <w:pPr>
      <w:adjustRightInd w:val="0"/>
      <w:spacing w:line="536870612" w:lineRule="auto"/>
      <w:ind w:left="851" w:hanging="426"/>
    </w:pPr>
    <w:rPr>
      <w:rFonts w:ascii="Times New Roman" w:hAnsi="Times New Roman" w:eastAsia="宋体" w:cs="Times New Roman"/>
      <w:szCs w:val="21"/>
    </w:rPr>
  </w:style>
  <w:style w:type="paragraph" w:customStyle="1" w:styleId="88">
    <w:name w:val="标准文件_字母编号列项（一级）"/>
    <w:qFormat/>
    <w:uiPriority w:val="0"/>
    <w:pPr>
      <w:numPr>
        <w:ilvl w:val="0"/>
        <w:numId w:val="11"/>
      </w:numPr>
      <w:jc w:val="both"/>
    </w:pPr>
    <w:rPr>
      <w:rFonts w:ascii="宋体" w:hAnsi="Times New Roman" w:eastAsia="宋体" w:cs="Times New Roman"/>
      <w:sz w:val="21"/>
      <w:lang w:val="en-US" w:eastAsia="zh-CN" w:bidi="ar-SA"/>
    </w:rPr>
  </w:style>
  <w:style w:type="character" w:customStyle="1" w:styleId="89">
    <w:name w:val="标准文件_段 Char"/>
    <w:link w:val="67"/>
    <w:qFormat/>
    <w:uiPriority w:val="0"/>
    <w:rPr>
      <w:rFonts w:ascii="宋体"/>
      <w:sz w:val="21"/>
    </w:rPr>
  </w:style>
  <w:style w:type="paragraph" w:customStyle="1" w:styleId="90">
    <w:name w:val="标准文件_二级项2"/>
    <w:basedOn w:val="67"/>
    <w:qFormat/>
    <w:uiPriority w:val="0"/>
    <w:pPr>
      <w:ind w:left="851" w:firstLine="0" w:firstLineChars="0"/>
    </w:pPr>
  </w:style>
  <w:style w:type="character" w:customStyle="1" w:styleId="91">
    <w:name w:val="正文文本 字符"/>
    <w:basedOn w:val="22"/>
    <w:link w:val="2"/>
    <w:qFormat/>
    <w:uiPriority w:val="0"/>
    <w:rPr>
      <w:rFonts w:hint="default"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theme" Target="theme/theme1.xml"/><Relationship Id="rId23" Type="http://schemas.openxmlformats.org/officeDocument/2006/relationships/footer" Target="footer12.xml"/><Relationship Id="rId22" Type="http://schemas.openxmlformats.org/officeDocument/2006/relationships/footer" Target="footer11.xml"/><Relationship Id="rId21" Type="http://schemas.openxmlformats.org/officeDocument/2006/relationships/header" Target="head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22</Pages>
  <Words>8553</Words>
  <Characters>9044</Characters>
  <Lines>83</Lines>
  <Paragraphs>23</Paragraphs>
  <TotalTime>6</TotalTime>
  <ScaleCrop>false</ScaleCrop>
  <LinksUpToDate>false</LinksUpToDate>
  <CharactersWithSpaces>9450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2024-11-09T00:36:00Z</dcterms:created>
  <dc:creator>wy</dc:creator>
  <cp:lastModifiedBy>sugou</cp:lastModifiedBy>
  <cp:lastPrinted>2024-11-13T22:05:00Z</cp:lastPrinted>
  <dcterms:modified xsi:type="dcterms:W3CDTF">2024-11-17T10:25:44Z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2D391516055844F695F153CAFD5B753F</vt:lpwstr>
  </property>
</Properties>
</file>